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color w:val="9C4A00"/>
          <w:sz w:val="18"/>
        </w:rPr>
        <w:t>文件狀態：工作稿／待核定；本文件不代表實際招生、執行或成果。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定義學員訓練類型及其促進關鍵績效指標的計算、資料來源與覆核方式。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先核定指標、分母、期間與目標，再從原始紀錄計算；不同課程類型分列，不以缺值填零。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先看KPI字典，再看填報欄及分母、缺值與覆核規則。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未提供本會實際學員、課程或績效數據；本文件提供可核定的指標規格與空白填報表，不含實績或目標值。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本文件對應的查核重點：學員訓練類型及促進關鍵績效指標（KPI）。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本文件需補的真實欄位：訓練類型核定表、學員名冊、出席／評量原始資料、訓後追蹤、分母定義及目標決議。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一、訓練類型分類（待協會核定）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2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類型代碼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訓練類別</w:t>
            </w:r>
          </w:p>
        </w:tc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分類條件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對應能力／發展目標</w:t>
            </w:r>
          </w:p>
        </w:tc>
        <w:tc>
          <w:tcPr>
            <w:tcW w:type="dxa" w:w="115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核定狀態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T01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健康教育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依核定課程目標及對象分類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T02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傳統整復推拿技術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依核定課程內容及適用規範分類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T03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其他市場需求課程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完成需求及可行性評估後另列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未建立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二、KPI規格字典（候選指標；目標值待核定）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KPI</w:t>
            </w:r>
          </w:p>
        </w:tc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定義／計算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必要分母／資料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週期／限制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訓練完成率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完成核定訓練人數 ÷ 符合納入條件之參訓人數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名冊、出席與完成判定；先固定納入條件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依課程／年度；不得把缺席資料排除而不揭露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評量達標率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達到核定標準人數 ÷ 完成有效評量人數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評量規準、作答／實作結果、覆核紀錄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分課程呈現；標準須先核定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職務相關訓練涵蓋率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有職務需求對照的受訓人數 ÷ 有完整職務資料的受訓人數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去識別學員與職務／需求對照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缺職務資料須另報完整度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訓後應用回覆率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有效回覆人數 ÷ 應追蹤且可聯絡人數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追蹤名單、回覆及未回覆紀錄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追蹤期間待核定；另列回覆偏差限制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訓後應用率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回覆有應用人數 ÷ 有效回覆人數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應用判準及可查證回覆／第三方資料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不可把回覆者推論為全體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三、年度填報與分析欄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期間／課程類型</w:t>
            </w:r>
          </w:p>
        </w:tc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基準與目標（核定）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實際分子／分母</w:t>
            </w:r>
          </w:p>
        </w:tc>
        <w:tc>
          <w:tcPr>
            <w:tcW w:type="dxa" w:w="129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</w:t>
            </w:r>
          </w:p>
        </w:tc>
        <w:tc>
          <w:tcPr>
            <w:tcW w:type="dxa" w:w="26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差異、限制與改善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[待填／附來源]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[待計算]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[待分析]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[待填／附來源]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[待計算]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[待分析]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四、資料品質與判讀規則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指標、對象、期間、分子、分母及排除條件先核定並保留版次。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分母為零、缺漏或資料不可比時，記錄「不適用／待取得」及原因，不以零代替。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跨年度或跨課程比較前，確認定義及納入範圍一致；變更時註明斷點。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報告同時列原始來源、覆核人、計算日期及改善決定；不以單一指標推定訓練造成營運成果。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證據定位與版本核對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預定來源／檔名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頁次／欄位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訓練類型及目標核定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學員出席與評量資料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訓後追蹤及KPI計算覆核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目前來源判定：本案未附可證明協會實際核定或執行的原始資料。完成填列前，維持工作稿狀態；不得將此表或示例直接當作既有成果。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確認與核定欄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編製人／角色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覆核人／角色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核定人／角色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確認日期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核定依據或紀錄位置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學員訓練類型及促進關鍵績效指標（KPI）_完整工作稿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