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截至2026年9月29日：已建立20份可編輯Word工作稿；其中20份仍待原始資料或核定，122份尚未開始。另有28個「其他」項目獨立列管，不計入142份主線。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