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年度績效目標訂定與分析紀錄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記錄年度工作目標的訂定、實際結果與差距分析，作為後續改善依據。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每個目標均填基準、核定目標、實績、資料來源、差距原因及後續措施。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先看年度目標總表，再看分析與改善追蹤表。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目前未提供核定目標、實績、日期或證據；所有數字欄維持待補。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本文件對應的查核重點：單位工作達成年度績效目標的訂定及目標分析等佐證資料。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本文件需補的真實欄位：實際年度、核定目標、統計期間、實績、計算依據、責任人及原始證據位置。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一、訂定方式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年度目標應從協會核定的工作計畫、實際需求及可取得的基準資料訂定。每項目標須寫清楚定義、計算方式、責任角色、期間、資料來源及檢討頻率。未核定的目標或數值均不得列為正式績效。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二、年度工作目標總表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工作／指標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定義與計算方式</w:t>
            </w:r>
          </w:p>
        </w:tc>
        <w:tc>
          <w:tcPr>
            <w:tcW w:type="dxa" w:w="129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基準值</w:t>
            </w:r>
          </w:p>
        </w:tc>
        <w:tc>
          <w:tcPr>
            <w:tcW w:type="dxa" w:w="13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年度目標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資料來源／責任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需求調查完成情形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完成且覆核的調查工作項目／核定應完成項目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課程規劃完成情形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完成且核定的課程規劃項目／核定應完成項目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年度改善完成情形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完成並再驗證的改善項目／核定應完成項目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其他協會工作目標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依實際核定工作設定，避免重複計算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三、期間實績與差距分析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  <w:cantSplit/>
        </w:trPr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指標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統計期間</w:t>
            </w:r>
          </w:p>
        </w:tc>
        <w:tc>
          <w:tcPr>
            <w:tcW w:type="dxa" w:w="115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目標值</w:t>
            </w:r>
          </w:p>
        </w:tc>
        <w:tc>
          <w:tcPr>
            <w:tcW w:type="dxa" w:w="115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實際值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差距／原因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證據位置</w:t>
            </w:r>
          </w:p>
        </w:tc>
      </w:tr>
      <w:t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[待補：指標名稱]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[待補：指標名稱]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計算方式：目標達成率＝實際值÷目標值；差距＝實際值－目標值。目標值為零、資料口徑不一致或缺少原始證據時，註明無法計算的原因，先完成資料核對。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四、差距原因與改善追蹤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差距或問題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原因判讀與依據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改善措施</w:t>
            </w:r>
          </w:p>
        </w:tc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責任角色／期限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再驗證結果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[待補：資料與判讀]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[待補：可執行作法]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[待指派／待核定]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[待指派／待核定]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五、資料覆核與呈報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原始紀錄、彙總表及計算結果應能互相核對，並保留資料期間及計算口徑。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發現錯誤或缺漏時，註明修正原因與覆核者；不得覆蓋原始記錄而不留紀錄。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年度結論及改善事項依協會權責呈報；核定前保持草案狀態。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</w:rPr>
        <w:t>查核證據與核定資料</w:t>
      </w:r>
    </w:p>
    <w:p>
      <w:pPr>
        <w:keepLines/>
      </w:pPr>
      <w:r>
        <w:rPr>
          <w:rFonts w:ascii="Microsoft JhengHei" w:hAnsi="Microsoft JhengHei" w:eastAsia="Microsoft JhengHei"/>
        </w:rPr>
        <w:t>原始資料：年度核定工作計畫、實績原始資料及改善紀錄［待補］；檔名與頁次：[待補]；覆核角色與日期：[待補]；核定人、日期及依據：[待核定／待補]。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年度績效目標訂定與分析紀錄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