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學員訓練成果評核標準與說明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明確說明學員訓練成果如何評量，讓學員知道標準，讓協會能一致記錄結果。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依每門課的學習目標訂定可觀察標準，正式使用前完成核定與對學員說明。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先看評量原則與指標草案，再看分級規準及結果紀錄欄。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本文件是制度草案；門檻、課程、實施日期、學員結果及核定均待補。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本文件對應的查核重點：對學員訓練成果有評核標準的訂定及說明。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本文件需補的真實欄位：正式評量項目與門檻、適用課程、告知日期、真實學員代碼、評量結果、覆核及核定資料。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一、目的與適用原則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本草案說明學員訓練成果評量的共同做法。各課程仍須依學習目標設計合適題目或操作觀察表；評量內容要清楚、可觀察、可記錄，且在使用前核定並向學員說明。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二、評量流程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執行內容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應留資料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訂定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把課程目標改寫成可觀察的學習表現；確認評量方式及適用範圍。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課程目標、評量項目、版本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核對題目、操作步驟、評分規準與課程內容相符；指定覆核角色。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檢核紀錄、核定依據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告知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訓練前說明評量方式、標準、補評或申訴管道。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學員告知資料及版本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實施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依同一標準記錄結果；需要調整時記錄原因及核准。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原始評量紀錄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依結果提供學習回饋及後續建議，不超出課程與專業範圍。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回饋紀錄、改善資料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三、評量項目與分級文字草案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下表僅供課程設計時參考。正式項目、權重及通過門檻須依各課程目標另行訂定並核定；未核定前不得用來判定學員合格或不合格。實作課程須先界定安全範圍；相關訓練不等同醫療診斷或治療。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可觀察面向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需加強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發展中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達到課程標準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熟練表現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知識理解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無法說明重點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可說明部分重點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能依題目說明主要概念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能清楚說明並舉出適用例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安全與界線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忽略安全提醒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提醒後可調整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能依課程標準遵守安全步驟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能辨識風險並說明處理方式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操作或實作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步驟未達要求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部分步驟正確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可依核定步驟完成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動作穩定並能說明要點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溝通與反思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未能表達或檢查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在提示下完成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能清楚表達並檢查學習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能根據回饋提出調整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四、課程專用評量設定表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課程與目標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評量方式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題目／觀察項目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通過門檻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核定與版本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[待補：實際課程及目標]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[待補：依目標設計]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五、結果紀錄、回饋與異議處理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訓練／評量批次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對象代碼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各項結果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補評或回饋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原始紀錄位置／覆核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評量資料只供訓練及必要的品質檢視使用，依協會核定規則保存及限權調閱。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學員有疑問或不同意結果時，依事先公布的方式提出；由適當角色覆核並留下處理紀錄。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涉及個人資料時使用必要且適當的識別方式，對外呈現以去識別或彙總資料為原則。</w:t>
      </w:r>
    </w:p>
    <w:p>
      <w:pPr>
        <w:pStyle w:val="Heading1"/>
        <w:keepNext/>
      </w:pPr>
      <w:r>
        <w:t>評核標準制度條文與使用程序</w:t>
      </w:r>
    </w:p>
    <w:p>
      <w:pPr>
        <w:spacing w:after="80"/>
      </w:pPr>
      <w:r>
        <w:t>本文件是制度草案。以下共同原則只提供審議底稿；每門課的評量方式、項目、權重、通過門檻、補評及申訴時限，須依該課目標另行核定，並於使用前向學員說明。</w:t>
      </w:r>
    </w:p>
    <w:p>
      <w:pPr>
        <w:pStyle w:val="Heading2"/>
        <w:keepNext/>
      </w:pPr>
      <w:r>
        <w:t>制度原則與責任分工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2232"/>
        <w:gridCol w:w="2448"/>
      </w:tblGrid>
      <w:tr>
        <w:trPr>
          <w:tblHeader w:val="true"/>
          <w:cantSplit/>
        </w:trPr>
        <w:tc>
          <w:tcPr>
            <w:tcW w:type="dxa" w:w="1584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條文／控制點</w:t>
            </w:r>
          </w:p>
        </w:tc>
        <w:tc>
          <w:tcPr>
            <w:tcW w:type="dxa" w:w="352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應採規則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責任角色（待核定）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應留證據／檢視頻率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目標對應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每項評量必須連到一項課程目標及可觀察表現；不以與目標無關項目計分。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課程設計與品質覆核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課程目標—評量對照表；課前覆核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事前告知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課前公開評量項目、方式、計分、通過標準、補評及異議管道。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課程承辦／覆核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告知版本、日期與受眾確認；每班留存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一致評分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同一班次使用同版本規準；評分者依描述性標準逐項留證。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評量者／第二覆核者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原始評分表、版本、必要校準紀錄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結果回饋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提供學員可理解的結果與改進方向；不得超出課程及專業範圍。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指定回饋角色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個別結果、發送日期與回覆狀態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資料更正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訂正原始紀錄時保留原值、原因、時間及覆核，不無痕覆寫。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紀錄保管／覆核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更正軌跡與存取紀錄</w:t>
            </w:r>
          </w:p>
        </w:tc>
      </w:tr>
    </w:tbl>
    <w:p>
      <w:pPr>
        <w:pStyle w:val="Heading2"/>
        <w:keepNext/>
      </w:pPr>
      <w:r>
        <w:t>課程專用評量設定與發布欄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2160"/>
        <w:gridCol w:w="1800"/>
        <w:gridCol w:w="1512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課程目標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可觀察項目／題目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量尺與證據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通過門檻／權重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核定／告知版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□筆試 □口頭 □操作；原始證據：[待補]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[待核定；未核定不得判定]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[版本／日期／紀錄待補]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[填寫量尺及觀察證據]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[待補]</w:t>
            </w:r>
          </w:p>
        </w:tc>
      </w:tr>
    </w:tbl>
    <w:p>
      <w:pPr>
        <w:pStyle w:val="Heading2"/>
        <w:keepNext/>
      </w:pPr>
      <w:r>
        <w:t>結果處理、補評與異議</w:t>
      </w:r>
    </w:p>
    <w:p>
      <w:pPr>
        <w:spacing w:after="80"/>
      </w:pPr>
      <w:r>
        <w:t>評量缺考、資料不完整、操作中止、學員對結果有異議或評量者有利益衝突時，先記錄事實與證據；由未涉入爭議的權責角色依已公告程序覆核。未核定補評規則前，不自行安排不同標準。涉及安全疑慮時，停止該次實作並依核定安全程序處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736"/>
        <w:gridCol w:w="2736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即時處理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覆核與決定欄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回覆／再評證據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缺考或資料不足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標註缺項及原因；不將缺值作0分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[依核定規則決定補評或不適用]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[日期、通知、補評紀錄待補]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評分爭議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保存原始結果與學員提出內容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[指定覆核角色；記理由]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[覆核結果與告知日期待補]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安全或利益衝突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暫停評分或實作，確保安全與獨立性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[移交未涉入角色；依權責處理]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[異常紀錄、決定與改善待補]</w:t>
            </w:r>
          </w:p>
        </w:tc>
      </w:tr>
    </w:tbl>
    <w:p>
      <w:pPr>
        <w:pStyle w:val="Heading2"/>
        <w:keepNext/>
      </w:pPr>
      <w:r>
        <w:t>版本與政策檢討</w:t>
      </w:r>
    </w:p>
    <w:p>
      <w:pPr>
        <w:spacing w:after="80"/>
      </w:pPr>
      <w:r>
        <w:t>每次課程使用前核對標準版本及學員告知版一致。課程目標、題目、權重、門檻或補評規則變更時，記錄變更原因、核定依據、生效日期與舊版處置；政策檢討完成率＝已完成覆核的應檢討項數／應檢討項數，分母未定或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對學員訓練成果有評核標準的訂定及說明。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核定課程目標、評量規準、學員告知及實際評量紀錄（待提供）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目標—項目—量尺—門檻—結果—補評／申訴—版本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現有稿提供評量制度與操作欄；各課程標準、告知、核定及結果待補。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原始來源（評量標準／版本、學員告知、實際評量）：[待補]；檔名／頁次：[待填]；編製：[待補]；覆核（角色／日期／結論）：[待補]；核定（人／日期／依據）：[待核定]。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學員訓練成果評核標準與說明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