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keepLines/>
        <w:spacing w:before="0" w:after="100"/>
      </w:pPr>
      <w:r>
        <w:rPr>
          <w:rFonts w:ascii="Microsoft JhengHei" w:hAnsi="Microsoft JhengHei" w:eastAsia="Microsoft JhengHei"/>
          <w:b/>
          <w:color w:val="183B63"/>
          <w:sz w:val="36"/>
        </w:rPr>
        <w:t>學員訓練類型及促進關鍵績效指標（KPI）_完整工作稿</w:t>
      </w:r>
    </w:p>
    <w:p>
      <w:r>
        <w:rPr>
          <w:rFonts w:ascii="Microsoft JhengHei" w:hAnsi="Microsoft JhengHei" w:eastAsia="Microsoft JhengHei"/>
          <w:b/>
          <w:color w:val="9C4A00"/>
          <w:sz w:val="18"/>
        </w:rPr>
        <w:t>文件狀態：工作稿／待核定；本文件不代表實際招生、執行或成果。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定義學員訓練類型及其促進關鍵績效指標的計算、資料來源與覆核方式。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先核定指標、分母、期間與目標，再從原始紀錄計算；不同課程類型分列，不以缺值填零。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先看KPI字典，再看填報欄及分母、缺值與覆核規則。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未提供本會實際學員、課程或績效數據；本文件提供可核定的指標規格與空白填報表，不含實績或目標值。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查核重點與資料界線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本文件對應的查核重點：學員訓練類型及促進關鍵績效指標（KPI）。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工作稿提醒：本稿不是核定紀錄，也不代表已辦理課程、調查或評量。只填入可查證的原始資料；沒有資料時保留空白並註明待補。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本會已提供的設定僅為協會名稱與核心方向：社團法人屏東縣原始點關懷協會，以健康教育及傳統整復推拿技術為核心，保留依實際市場需求發展多元課程的空間。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本文件需補的真實欄位：訓練類型核定表、學員名冊、出席／評量原始資料、訓後追蹤、分母定義及目標決議。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一、訓練類型分類（待協會核定）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22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類型代碼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訓練類別</w:t>
            </w:r>
          </w:p>
        </w:tc>
        <w:tc>
          <w:tcPr>
            <w:tcW w:type="dxa" w:w="316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分類條件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對應能力／發展目標</w:t>
            </w:r>
          </w:p>
        </w:tc>
        <w:tc>
          <w:tcPr>
            <w:tcW w:type="dxa" w:w="115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核定狀態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T01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健康教育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依核定課程目標及對象分類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1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待核定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T02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傳統整復推拿技術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依核定課程內容及適用規範分類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1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待核定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T03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其他市場需求課程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完成需求及可行性評估後另列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1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未建立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二、KPI規格字典（候選指標；目標值待核定）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KPI</w:t>
            </w:r>
          </w:p>
        </w:tc>
        <w:tc>
          <w:tcPr>
            <w:tcW w:type="dxa" w:w="302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定義／計算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必要分母／資料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週期／限制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訓練完成率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完成核定訓練人數 ÷ 符合納入條件之參訓人數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名冊、出席與完成判定；先固定納入條件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依課程／年度；不得把缺席資料排除而不揭露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評量達標率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達到核定標準人數 ÷ 完成有效評量人數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評量規準、作答／實作結果、覆核紀錄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分課程呈現；標準須先核定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職務相關訓練涵蓋率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有職務需求對照的受訓人數 ÷ 有完整職務資料的受訓人數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去識別學員與職務／需求對照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缺職務資料須另報完整度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訓後應用回覆率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有效回覆人數 ÷ 應追蹤且可聯絡人數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追蹤名單、回覆及未回覆紀錄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追蹤期間待核定；另列回覆偏差限制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訓後應用率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回覆有應用人數 ÷ 有效回覆人數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應用判準及可查證回覆／第三方資料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不可把回覆者推論為全體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三、年度填報與分析欄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期間／課程類型</w:t>
            </w:r>
          </w:p>
        </w:tc>
        <w:tc>
          <w:tcPr>
            <w:tcW w:type="dxa" w:w="201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基準與目標（核定）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實際分子／分母</w:t>
            </w:r>
          </w:p>
        </w:tc>
        <w:tc>
          <w:tcPr>
            <w:tcW w:type="dxa" w:w="129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結果</w:t>
            </w:r>
          </w:p>
        </w:tc>
        <w:tc>
          <w:tcPr>
            <w:tcW w:type="dxa" w:w="26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差異、限制與改善</w:t>
            </w:r>
          </w:p>
        </w:tc>
      </w:tr>
      <w:t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[待填／附來源]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[待計算]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[待分析]</w:t>
            </w:r>
          </w:p>
        </w:tc>
      </w:tr>
      <w:t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[待填／附來源]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[待計算]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[待分析]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四、資料品質與判讀規則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指標、對象、期間、分子、分母及排除條件先核定並保留版次。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分母為零、缺漏或資料不可比時，記錄「不適用／待取得」及原因，不以零代替。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跨年度或跨課程比較前，確認定義及納入範圍一致；變更時註明斷點。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報告同時列原始來源、覆核人、計算日期及改善決定；不以單一指標推定訓練造成營運成果。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證據定位與版本核對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核對項目</w:t>
            </w:r>
          </w:p>
        </w:tc>
        <w:tc>
          <w:tcPr>
            <w:tcW w:type="dxa" w:w="37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預定來源／檔名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頁次／欄位</w:t>
            </w:r>
          </w:p>
        </w:tc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訓練類型及目標核定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學員出席與評量資料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訓後追蹤及KPI計算覆核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目前來源判定：本案未附可證明協會實際核定或執行的原始資料。完成填列前，維持工作稿狀態；不得將此表或示例直接當作既有成果。</w:t>
      </w:r>
    </w:p>
    <w:p>
      <w:pPr>
        <w:pStyle w:val="Heading1"/>
        <w:keepNext/>
      </w:pPr>
      <w:r>
        <w:t>訓練類型至KPI量測追溯矩陣</w:t>
      </w:r>
    </w:p>
    <w:p>
      <w:pPr>
        <w:spacing w:after="80"/>
      </w:pPr>
      <w:r>
        <w:t>本件專責定義各訓練類別的指標、計算分子分母與資料來源；個案或班級的完整證據鏈，依 I03-E02 文件逐件建檔。本件不填入實際學員、目標值或績效結果。</w:t>
      </w:r>
    </w:p>
    <w:p>
      <w:pPr>
        <w:pStyle w:val="Heading2"/>
        <w:keepNext/>
      </w:pPr>
      <w:r>
        <w:t>需求—目標—單元—產出—評量—成果—證據ID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2016"/>
        <w:gridCol w:w="1872"/>
        <w:gridCol w:w="2088"/>
        <w:gridCol w:w="2160"/>
      </w:tblGrid>
      <w:tr>
        <w:trPr>
          <w:tblHeader w:val="true"/>
        </w:trPr>
        <w:tc>
          <w:tcPr>
            <w:tcW w:type="dxa" w:w="1656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類別／鏈結ID</w:t>
            </w:r>
          </w:p>
        </w:tc>
        <w:tc>
          <w:tcPr>
            <w:tcW w:type="dxa" w:w="2016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需求 → 目標 → 單元</w:t>
            </w:r>
          </w:p>
        </w:tc>
        <w:tc>
          <w:tcPr>
            <w:tcW w:type="dxa" w:w="1872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產出 → 評量</w:t>
            </w:r>
          </w:p>
        </w:tc>
        <w:tc>
          <w:tcPr>
            <w:tcW w:type="dxa" w:w="208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成果 → KPI</w:t>
            </w:r>
          </w:p>
        </w:tc>
        <w:tc>
          <w:tcPr>
            <w:tcW w:type="dxa" w:w="216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證據ID／來源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健康教育｜[待編]</w:t>
            </w:r>
          </w:p>
        </w:tc>
        <w:tc>
          <w:tcPr>
            <w:tcW w:type="dxa" w:w="201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[需求證據] → [核定目標] → [課程單元]</w:t>
            </w:r>
          </w:p>
        </w:tc>
        <w:tc>
          <w:tcPr>
            <w:tcW w:type="dxa" w:w="187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[產出] → [評量方法、有效n]</w:t>
            </w:r>
          </w:p>
        </w:tc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[成果定義] → [KPI代碼]</w:t>
            </w:r>
          </w:p>
        </w:tc>
        <w:tc>
          <w:tcPr>
            <w:tcW w:type="dxa" w:w="216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[來源、位置、覆核待補]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傳統整復推拿技術｜[待編]</w:t>
            </w:r>
          </w:p>
        </w:tc>
        <w:tc>
          <w:tcPr>
            <w:tcW w:type="dxa" w:w="201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[需求證據] → [核定目標] → [課程單元]</w:t>
            </w:r>
          </w:p>
        </w:tc>
        <w:tc>
          <w:tcPr>
            <w:tcW w:type="dxa" w:w="187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[產出] → [評量方法、有效n]</w:t>
            </w:r>
          </w:p>
        </w:tc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[成果定義] → [KPI代碼]</w:t>
            </w:r>
          </w:p>
        </w:tc>
        <w:tc>
          <w:tcPr>
            <w:tcW w:type="dxa" w:w="216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[來源、位置、覆核待補]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其他市場需求類別｜[符合條件時新增]</w:t>
            </w:r>
          </w:p>
        </w:tc>
        <w:tc>
          <w:tcPr>
            <w:tcW w:type="dxa" w:w="201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[來源] → [核定目標] → [課程單元]</w:t>
            </w:r>
          </w:p>
        </w:tc>
        <w:tc>
          <w:tcPr>
            <w:tcW w:type="dxa" w:w="187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[產出] → [評量方法、有效n]</w:t>
            </w:r>
          </w:p>
        </w:tc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[成果定義] → [KPI代碼]</w:t>
            </w:r>
          </w:p>
        </w:tc>
        <w:tc>
          <w:tcPr>
            <w:tcW w:type="dxa" w:w="216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[來源、位置、覆核待補]</w:t>
            </w:r>
          </w:p>
        </w:tc>
      </w:tr>
    </w:tbl>
    <w:p>
      <w:pPr>
        <w:pStyle w:val="Heading2"/>
        <w:keepNext/>
      </w:pPr>
      <w:r>
        <w:t>KPI分子、分母及資料來源字典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2520"/>
        <w:gridCol w:w="1872"/>
        <w:gridCol w:w="2304"/>
      </w:tblGrid>
      <w:tr>
        <w:trPr>
          <w:tblHeader w:val="true"/>
        </w:trPr>
        <w:tc>
          <w:tcPr>
            <w:tcW w:type="dxa" w:w="194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KPI</w:t>
            </w:r>
          </w:p>
        </w:tc>
        <w:tc>
          <w:tcPr>
            <w:tcW w:type="dxa" w:w="252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分子／分母</w:t>
            </w:r>
          </w:p>
        </w:tc>
        <w:tc>
          <w:tcPr>
            <w:tcW w:type="dxa" w:w="1872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期間／分層</w:t>
            </w:r>
          </w:p>
        </w:tc>
        <w:tc>
          <w:tcPr>
            <w:tcW w:type="dxa" w:w="230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資料來源／判讀限制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訓練完成率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完成核定訓練人數／符合納入條件的參訓人數</w:t>
            </w:r>
          </w:p>
        </w:tc>
        <w:tc>
          <w:tcPr>
            <w:tcW w:type="dxa" w:w="187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按課程類型、班次及年度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名冊、出席及完成判定；缺席及排除須列明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評量達標率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達到核定標準人數／完成有效評量人數</w:t>
            </w:r>
          </w:p>
        </w:tc>
        <w:tc>
          <w:tcPr>
            <w:tcW w:type="dxa" w:w="187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依課程及評量版本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規準、原始結果、覆核；門檻須事前核定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職務相關訓練涵蓋率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有職務需求對照的受訓人數／有完整職務資料的受訓人數</w:t>
            </w:r>
          </w:p>
        </w:tc>
        <w:tc>
          <w:tcPr>
            <w:tcW w:type="dxa" w:w="187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職務分類及期間待核定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去識別需求對照；另列職務資料完整率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訓後應用回覆率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有效回覆人數／應追蹤且可聯絡人數</w:t>
            </w:r>
          </w:p>
        </w:tc>
        <w:tc>
          <w:tcPr>
            <w:tcW w:type="dxa" w:w="187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追蹤期間待核定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追蹤名單、未回覆狀態；揭露回覆偏差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訓後應用率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符合應用判準的回覆人數／有效回覆人數</w:t>
            </w:r>
          </w:p>
        </w:tc>
        <w:tc>
          <w:tcPr>
            <w:tcW w:type="dxa" w:w="187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不得直接推論全體學員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回覆與必要佐證；需明列方法及限制</w:t>
            </w:r>
          </w:p>
        </w:tc>
      </w:tr>
    </w:tbl>
    <w:p>
      <w:pPr>
        <w:pStyle w:val="Heading2"/>
        <w:keepNext/>
      </w:pPr>
      <w:r>
        <w:t>年度KPI結果與差異記錄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1872"/>
        <w:gridCol w:w="1872"/>
        <w:gridCol w:w="1512"/>
        <w:gridCol w:w="2376"/>
      </w:tblGrid>
      <w:tr>
        <w:trPr>
          <w:tblHeader w:val="true"/>
        </w:trPr>
        <w:tc>
          <w:tcPr>
            <w:tcW w:type="dxa" w:w="194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期間／類型／KPI</w:t>
            </w:r>
          </w:p>
        </w:tc>
        <w:tc>
          <w:tcPr>
            <w:tcW w:type="dxa" w:w="1872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核定基準／目標</w:t>
            </w:r>
          </w:p>
        </w:tc>
        <w:tc>
          <w:tcPr>
            <w:tcW w:type="dxa" w:w="1872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實際分子／分母</w:t>
            </w:r>
          </w:p>
        </w:tc>
        <w:tc>
          <w:tcPr>
            <w:tcW w:type="dxa" w:w="1512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結果／差距</w:t>
            </w:r>
          </w:p>
        </w:tc>
        <w:tc>
          <w:tcPr>
            <w:tcW w:type="dxa" w:w="2376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來源、限制與改善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[待填]</w:t>
            </w:r>
          </w:p>
        </w:tc>
        <w:tc>
          <w:tcPr>
            <w:tcW w:type="dxa" w:w="187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[核定版／待補]</w:t>
            </w:r>
          </w:p>
        </w:tc>
        <w:tc>
          <w:tcPr>
            <w:tcW w:type="dxa" w:w="187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[待補；不以缺值補零]</w:t>
            </w:r>
          </w:p>
        </w:tc>
        <w:tc>
          <w:tcPr>
            <w:tcW w:type="dxa" w:w="151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[待計算]</w:t>
            </w:r>
          </w:p>
        </w:tc>
        <w:tc>
          <w:tcPr>
            <w:tcW w:type="dxa" w:w="237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[來源、原因及措施待填]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[待填]</w:t>
            </w:r>
          </w:p>
        </w:tc>
        <w:tc>
          <w:tcPr>
            <w:tcW w:type="dxa" w:w="187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[核定版／待補]</w:t>
            </w:r>
          </w:p>
        </w:tc>
        <w:tc>
          <w:tcPr>
            <w:tcW w:type="dxa" w:w="187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[待補；不以缺值補零]</w:t>
            </w:r>
          </w:p>
        </w:tc>
        <w:tc>
          <w:tcPr>
            <w:tcW w:type="dxa" w:w="151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[待計算]</w:t>
            </w:r>
          </w:p>
        </w:tc>
        <w:tc>
          <w:tcPr>
            <w:tcW w:type="dxa" w:w="237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[來源、原因及措施待填]</w:t>
            </w:r>
          </w:p>
        </w:tc>
      </w:tr>
    </w:tbl>
    <w:p>
      <w:pPr>
        <w:pStyle w:val="Heading2"/>
        <w:keepNext/>
      </w:pPr>
      <w:r>
        <w:t>計算、缺值與版本規則</w:t>
      </w:r>
    </w:p>
    <w:p>
      <w:pPr>
        <w:spacing w:after="80"/>
      </w:pPr>
      <w:r>
        <w:t>每個指標先核定定義、對象、期間、納入／排除條件、分子、分母及來源版次。分母為零或資料缺漏時記「無法計算／待取得」並說明原因，不以0或估算替代。跨類別、年度比較前確認定義一致；變更時標示斷點。追溯完整率＝已連結至可核實成果與證據ID的完整KPI鏈數／已定義需求數；分母為零時不計。</w:t>
      </w:r>
    </w:p>
    <w:p>
      <w:pPr>
        <w:pStyle w:val="Heading2"/>
        <w:keepNext/>
      </w:pPr>
      <w:r>
        <w:t>專屬要求追溯表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704"/>
      </w:tblGrid>
      <w:tr>
        <w:trPr>
          <w:tblHeader w:val="true"/>
        </w:trPr>
        <w:tc>
          <w:tcPr>
            <w:tcW w:type="dxa" w:w="208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追溯欄位</w:t>
            </w:r>
          </w:p>
        </w:tc>
        <w:tc>
          <w:tcPr>
            <w:tcW w:type="dxa" w:w="770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填寫／核對內容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官方要求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學員訓練類型及促進關鍵績效指標（KPI）。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資料來源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訓練類型核定、需求與課程文件、學員出席／評量、追蹤資料及KPI原始計算底稿（待提供）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欄位／指標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各類別KPI定義、分子／分母、期間、結果、限制、改善與證據ID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結果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目前只有候選指標規格；類別、目標、學員數據與結果均待核定或取得。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>
              <w:t>證據與核定紀錄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>
              <w:t>檔名／頁次／保存位置：[待填]；編製角色／日期：[待補]；覆核角色／日期／結論：[待補]；核定角色／日期：[待核定]；核定依據／紀錄位置：[待補]。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學員訓練類型及促進關鍵績效指標（KPI）_完整工作稿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