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Aptos" w:hAnsi="Aptos" w:eastAsia="Microsoft JhengHei"/>
          <w:b/>
          <w:color w:val="17365D"/>
          <w:sz w:val="40"/>
        </w:rPr>
        <w:t>目標市場需求分析報告</w:t>
      </w:r>
    </w:p>
    <w:p>
      <w:pPr>
        <w:keepNext/>
        <w:keepLines/>
        <w:spacing w:after="40" w:before="0" w:line="252" w:lineRule="auto"/>
      </w:pPr>
      <w:r>
        <w:rPr>
          <w:b/>
          <w:sz w:val="21"/>
        </w:rPr>
        <w:t>這份文件要證明什麼？</w:t>
      </w:r>
      <w:r>
        <w:t xml:space="preserve"> </w:t>
      </w:r>
      <w:r>
        <w:rPr>
          <w:sz w:val="21"/>
        </w:rPr>
        <w:t>示範如何整理問卷，並比較需求重要度與現有學習機會的差距。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0091"/>
      </w:tblGrid>
      <w:tr>
        <w:tc>
          <w:tcPr>
            <w:tcW w:type="dxa" w:w="10091"/>
            <w:shd w:fill="FFF2C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JhengHei"/>
                <w:b/>
                <w:color w:val="9C5700"/>
                <w:sz w:val="20"/>
              </w:rPr>
              <w:t>擬真示範分析｜非協會實際調查或成果</w:t>
            </w:r>
          </w:p>
        </w:tc>
      </w:tr>
    </w:tbl>
    <w:p>
      <w:pPr>
        <w:keepNext/>
        <w:keepLines/>
        <w:widowControl/>
        <w:spacing w:before="0" w:after="40" w:line="252" w:lineRule="auto"/>
      </w:pPr>
      <w:r>
        <w:rPr>
          <w:b/>
          <w:sz w:val="21"/>
        </w:rPr>
        <w:t>我們怎麼做？</w:t>
      </w:r>
      <w:r>
        <w:br/>
      </w:r>
      <w:r>
        <w:rPr>
          <w:sz w:val="21"/>
        </w:rPr>
        <w:t>①整理示範樣本；②計算各需求主題的分布；③依示範門檻排列優先順序；④列出真實調查前仍須核實的事項。　責任：正式調查及結果覆核角色待指定。</w:t>
      </w:r>
      <w:r>
        <w:br/>
      </w:r>
      <w:r>
        <w:rPr>
          <w:b/>
          <w:sz w:val="21"/>
        </w:rPr>
        <w:t>目前狀態：</w:t>
      </w:r>
      <w:r>
        <w:rPr>
          <w:sz w:val="21"/>
        </w:rPr>
        <w:t>全部數字及結論均為擬真示範，不是協會問卷、需求結論或課程決議。</w:t>
      </w:r>
    </w:p>
    <w:p>
      <w:pPr>
        <w:keepLines/>
        <w:spacing w:before="0" w:after="80" w:line="252" w:lineRule="auto"/>
      </w:pPr>
      <w:r>
        <w:rPr>
          <w:b/>
          <w:sz w:val="21"/>
        </w:rPr>
        <w:t>評核委員先看：</w:t>
      </w:r>
      <w:r>
        <w:t xml:space="preserve"> </w:t>
      </w:r>
      <w:r>
        <w:rPr>
          <w:sz w:val="21"/>
        </w:rPr>
        <w:t>有效作答結果、分群與需求優先矩陣、真實資料驗證步驟、證據索引與要求追溯。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本示範依資料集提供的有效作答，計算構面重要度、現有學習機會與描述性差距；依資料集限定的示範門檻，優先矩陣列示兩項構面。以下僅供日後人員審閱分析口徑，不代表協會、目標市場或已作成課程決議。</w:t>
      </w:r>
    </w:p>
    <w:p>
      <w:pPr>
        <w:pStyle w:val="Heading1"/>
      </w:pPr>
      <w:r>
        <w:t>目的與分析方法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本報告直接回應 I01-E02「目標市場需求調查。」並示範如何把需求題目、回收概況、構面評分與偏好統計連到後續課程規劃檢視。數值唯一來源為指定模擬資料集；官方資料僅用於核對要求及佐證脈絡。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評分構面使用 1–5 分。需求平均為有效重要度評分加總除以有效作答數；高需求比例為重要度 4 或 5 分人數除以有效作答數；描述性缺口為重要度平均減現有機會平均。多選題只報選取次數；偏好及費用區間只報模擬分類人數。</w:t>
      </w:r>
    </w:p>
    <w:p>
      <w:pPr>
        <w:pStyle w:val="Heading1"/>
      </w:pPr>
      <w:r>
        <w:t>樣本範圍與限制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本例沒有真實母體、抽樣框、招募管道或調查日期；邀請與回收數均為擬真計數，不構成抽樣代表性。資料集不含個人層級資料，也沒有實際受訪者、引述、班次、核准或協會營運資訊。有效作答按資料集所列數計算；實際調查仍須先定義缺漏值與排除規則。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表｜示範樣本與回收率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757"/>
        <w:gridCol w:w="1191"/>
        <w:gridCol w:w="7143"/>
      </w:tblGrid>
      <w:tr>
        <w:trPr>
          <w:tblHeader w:val="true"/>
          <w:cantSplit/>
        </w:trPr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7"/>
              </w:rPr>
              <w:t>擬真數值</w:t>
            </w:r>
          </w:p>
        </w:tc>
        <w:tc>
          <w:tcPr>
            <w:tcW w:type="dxa" w:w="7143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7"/>
              </w:rPr>
              <w:t>計算口徑／界線</w:t>
            </w:r>
          </w:p>
        </w:tc>
      </w:tr>
      <w:tr>
        <w:trPr>
          <w:cantSplit/>
        </w:trPr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7"/>
              </w:rPr>
              <w:t>邀請數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12</w:t>
            </w:r>
          </w:p>
        </w:tc>
        <w:tc>
          <w:tcPr>
            <w:tcW w:type="dxa" w:w="714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擬真計數；非實際邀請</w:t>
            </w:r>
          </w:p>
        </w:tc>
      </w:tr>
      <w:tr>
        <w:trPr>
          <w:cantSplit/>
        </w:trPr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7"/>
              </w:rPr>
              <w:t>回收數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10</w:t>
            </w:r>
          </w:p>
        </w:tc>
        <w:tc>
          <w:tcPr>
            <w:tcW w:type="dxa" w:w="714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回收率＝回收／邀請＝10/12＝83.3%</w:t>
            </w:r>
          </w:p>
        </w:tc>
      </w:tr>
      <w:tr>
        <w:trPr>
          <w:cantSplit/>
        </w:trPr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7"/>
              </w:rPr>
              <w:t>有效數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10</w:t>
            </w:r>
          </w:p>
        </w:tc>
        <w:tc>
          <w:tcPr>
            <w:tcW w:type="dxa" w:w="714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擬真有效作答數</w:t>
            </w:r>
          </w:p>
        </w:tc>
      </w:tr>
      <w:tr>
        <w:trPr>
          <w:cantSplit/>
        </w:trPr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7"/>
              </w:rPr>
              <w:t>有效回收率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100%</w:t>
            </w:r>
          </w:p>
        </w:tc>
        <w:tc>
          <w:tcPr>
            <w:tcW w:type="dxa" w:w="714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有效／回收＝10/10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D9EA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4364B"/>
                <w:sz w:val="17"/>
              </w:rPr>
              <w:t>分群結果</w:t>
            </w:r>
          </w:p>
        </w:tc>
        <w:tc>
          <w:tcPr>
            <w:tcW w:type="dxa" w:w="1191"/>
            <w:vAlign w:val="center"/>
            <w:shd w:fill="F3F7FB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color w:val="24364B"/>
                <w:sz w:val="17"/>
              </w:rPr>
              <w:t>不提供</w:t>
            </w:r>
          </w:p>
        </w:tc>
        <w:tc>
          <w:tcPr>
            <w:tcW w:type="dxa" w:w="7143"/>
            <w:vAlign w:val="center"/>
            <w:shd w:fill="F3F7FB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color w:val="24364B"/>
                <w:sz w:val="17"/>
              </w:rPr>
              <w:t>資料集無個人層級及人口／身份欄位；不作分群推論</w:t>
            </w:r>
          </w:p>
        </w:tc>
      </w:tr>
    </w:tbl>
    <w:p>
      <w:pPr>
        <w:spacing w:before="0" w:after="20" w:line="168" w:lineRule="auto"/>
      </w:pPr>
    </w:p>
    <w:p>
      <w:pPr>
        <w:pStyle w:val="Heading1"/>
      </w:pPr>
      <w:r>
        <w:t>有效作答結果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構面結果由資料集內的逐筆分數重算；括號列示總分與分母，以供算術核對。高需求比例以 4 或 5 分計算，缺口僅為本例描述值。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表｜需求構面重要度、現有機會與差距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2891"/>
        <w:gridCol w:w="1814"/>
        <w:gridCol w:w="1587"/>
        <w:gridCol w:w="2324"/>
        <w:gridCol w:w="907"/>
      </w:tblGrid>
      <w:tr>
        <w:trPr>
          <w:tblHeader w:val="true"/>
          <w:cantSplit/>
        </w:trPr>
        <w:tc>
          <w:tcPr>
            <w:tcW w:type="dxa" w:w="289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構面（沿用資料集原名）</w:t>
            </w:r>
          </w:p>
        </w:tc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重要度平均（總分／n）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4–5 分（人數／比例）</w:t>
            </w:r>
          </w:p>
        </w:tc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現有機會平均（總分／n）</w:t>
            </w:r>
          </w:p>
        </w:tc>
        <w:tc>
          <w:tcPr>
            <w:tcW w:type="dxa" w:w="90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缺口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健康資訊辨識與健康教育基礎</w:t>
            </w:r>
          </w:p>
        </w:tc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3.6（36/10）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6/10；60%</w:t>
            </w:r>
          </w:p>
        </w:tc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2.4（24/10）</w:t>
            </w:r>
          </w:p>
        </w:tc>
        <w:tc>
          <w:tcPr>
            <w:tcW w:type="dxa" w:w="90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1.2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日常活動與身體使用安全常識</w:t>
            </w:r>
          </w:p>
        </w:tc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4.0（40/10）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7/10；70%</w:t>
            </w:r>
          </w:p>
        </w:tc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2.8（28/10）</w:t>
            </w:r>
          </w:p>
        </w:tc>
        <w:tc>
          <w:tcPr>
            <w:tcW w:type="dxa" w:w="90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1.2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傳統整復推拿相關技術之教育性入門</w:t>
            </w:r>
          </w:p>
        </w:tc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3.4（34/10）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5/10；50%</w:t>
            </w:r>
          </w:p>
        </w:tc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3.0（30/10）</w:t>
            </w:r>
          </w:p>
        </w:tc>
        <w:tc>
          <w:tcPr>
            <w:tcW w:type="dxa" w:w="90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0.4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服務溝通、倫理與顧客權益資訊</w:t>
            </w:r>
          </w:p>
        </w:tc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3.2（32/10）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4/10；40%</w:t>
            </w:r>
          </w:p>
        </w:tc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2.8（28/10）</w:t>
            </w:r>
          </w:p>
        </w:tc>
        <w:tc>
          <w:tcPr>
            <w:tcW w:type="dxa" w:w="90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0.4</w:t>
            </w:r>
          </w:p>
        </w:tc>
      </w:tr>
    </w:tbl>
    <w:p>
      <w:pPr>
        <w:spacing w:before="0" w:after="20" w:line="168" w:lineRule="auto"/>
      </w:pP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表｜需求主題多選次數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7937"/>
        <w:gridCol w:w="1587"/>
      </w:tblGrid>
      <w:tr>
        <w:trPr>
          <w:tblHeader w:val="true"/>
          <w:cantSplit/>
        </w:trPr>
        <w:tc>
          <w:tcPr>
            <w:tcW w:type="dxa" w:w="793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需求主題（資料集原名）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選取次數</w:t>
            </w:r>
          </w:p>
        </w:tc>
      </w:tr>
      <w:tr>
        <w:trPr>
          <w:cantSplit/>
        </w:trPr>
        <w:tc>
          <w:tcPr>
            <w:tcW w:type="dxa" w:w="793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健康資訊辨識與健康教育基礎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793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日常活動與身體使用安全常識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793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傳統整復推拿相關技術之教育性入門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793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服務溝通、倫理與顧客權益資訊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5</w:t>
            </w:r>
          </w:p>
        </w:tc>
      </w:tr>
    </w:tbl>
    <w:p>
      <w:pPr>
        <w:spacing w:before="0" w:after="20" w:line="168" w:lineRule="auto"/>
      </w:pP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多選最多選 3 項；本表為 10 份擬真有效作答的選取次數，不是市場比例。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表｜課程偏好分類人數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814"/>
        <w:gridCol w:w="6236"/>
        <w:gridCol w:w="1474"/>
      </w:tblGrid>
      <w:tr>
        <w:trPr>
          <w:tblHeader w:val="true"/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偏好欄位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選項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擬真人數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時段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平日晚上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時段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週末上午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時段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週末下午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時段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彈性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時數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2小時內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時數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2至3小時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時數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半日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時數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全日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時數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多次分段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方式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面對面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方式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即時線上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方式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自主數位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方式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混合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方式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無偏好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1</w:t>
            </w:r>
          </w:p>
        </w:tc>
      </w:tr>
    </w:tbl>
    <w:p>
      <w:pPr>
        <w:spacing w:before="0" w:after="20" w:line="168" w:lineRule="auto"/>
      </w:pP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每個偏好欄位依資料集各有 10 份分類回答；不得解讀為實際報名、可開班時段或課程規格。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表｜參訓障礙與虛構費用回答區間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2835"/>
        <w:gridCol w:w="1191"/>
        <w:gridCol w:w="4309"/>
        <w:gridCol w:w="1191"/>
      </w:tblGrid>
      <w:tr>
        <w:trPr>
          <w:tblHeader w:val="true"/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障礙類別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選取次數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費用回答選項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模擬人數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時間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4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免費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交通或地點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新臺幣1至500元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費用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新臺幣501至1000元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內容或程度不合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新臺幣1001至2000元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工作或家庭安排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5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新臺幣2001元以上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設備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需先了解課程規格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其他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多選合計（10 份）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18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費用分類合計（10 份）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10</w:t>
            </w:r>
          </w:p>
        </w:tc>
      </w:tr>
    </w:tbl>
    <w:p>
      <w:pPr>
        <w:spacing w:before="0" w:after="20" w:line="168" w:lineRule="auto"/>
      </w:pP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障礙題為多選（10 份、18 次選取）。費用欄只呈現虛構答案區間分布，不是價格、行情、報價或支付意願結果。</w:t>
      </w:r>
    </w:p>
    <w:p>
      <w:pPr>
        <w:pStyle w:val="Heading1"/>
      </w:pPr>
      <w:r>
        <w:t>分群與需求優先矩陣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資料集未提供個人層級或人口／身份欄位，因此不作人口或身份分群，也不以偏好分類冒充受訪者分群。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下表只依資料集的示範規則判讀：重要度平均 ≥ 3.5 且缺口 ≥ 1.0 才列為「示範優先」。這不是協會核定的決策門檻，矩陣判讀須待人員覆核。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表｜重要度 × 缺口示範優先矩陣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871"/>
        <w:gridCol w:w="4110"/>
        <w:gridCol w:w="4110"/>
      </w:tblGrid>
      <w:tr>
        <w:trPr>
          <w:tblHeader w:val="true"/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重要度平均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缺口高（≥ 1.0）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缺口未達（&lt; 1.0）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重要度高（≥ 3.5）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健康資訊辨識與健康教育基礎</w:t>
              <w:br/>
              <w:t>日常活動與身體使用安全常識</w:t>
              <w:br/>
              <w:t>示範優先；待人員審閱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本例無項目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重要度未達（&lt; 3.5）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本例無項目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傳統整復推拿相關技術之教育性入門</w:t>
              <w:br/>
              <w:t>服務溝通、倫理與顧客權益資訊</w:t>
              <w:br/>
              <w:t>示範未達雙條件；待驗證</w:t>
            </w:r>
          </w:p>
        </w:tc>
      </w:tr>
    </w:tbl>
    <w:p>
      <w:pPr>
        <w:spacing w:before="0" w:after="20" w:line="168" w:lineRule="auto"/>
      </w:pPr>
    </w:p>
    <w:p>
      <w:pPr>
        <w:pStyle w:val="Heading1"/>
      </w:pPr>
      <w:r>
        <w:t>供日後人員審閱的規劃含意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條件式提案：若真實調查獨立重現矩陣排序，再檢視「健康資訊辨識與健康教育基礎」及「日常活動與身體使用安全常識」的教學可行性；本示範不核定課程、班次、師資、時程或費用。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課程界線：健康教育及傳統整復推拿技術入門均維持非醫療、教育性定位；不據此提出診斷、治療效能或醫療結果主張。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偏好及費用：時段、時數、方式、障礙及虛構費用區間分布僅供後續問卷檢核；不得直接形成招生、定價或開班決策。</w:t>
      </w:r>
    </w:p>
    <w:p>
      <w:pPr>
        <w:pStyle w:val="Heading1"/>
      </w:pPr>
      <w:r>
        <w:t>真實資料驗證步驟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先界定目標母體、地區、納入條件、抽樣框及招募方式，並確認資料蒐集與告知方式。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由人員核定題目、量尺、缺漏值及無效表單處理規則；保留可追溯但去識別化的原始資料與調查日期、管道和附件位置。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以真實資料重算有效回收率、題項統計、構面平均與缺口；僅在樣本足夠、隱私安全且有合理解釋時進行分群。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審查示範門檻是否適用，再由人員結合資源、法規及品質條件提出課程決定；核准、簽章、實際班次與費用均另以真實證據核實。</w:t>
      </w:r>
    </w:p>
    <w:p>
      <w:pPr>
        <w:pStyle w:val="Heading1"/>
      </w:pPr>
      <w:r>
        <w:t>證據索引與 I01-E02 追溯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表｜證據索引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871"/>
        <w:gridCol w:w="4082"/>
        <w:gridCol w:w="4139"/>
      </w:tblGrid>
      <w:tr>
        <w:trPr>
          <w:tblHeader w:val="true"/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來源</w:t>
            </w:r>
          </w:p>
        </w:tc>
        <w:tc>
          <w:tcPr>
            <w:tcW w:type="dxa" w:w="4082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定位／用途</w:t>
            </w:r>
          </w:p>
        </w:tc>
        <w:tc>
          <w:tcPr>
            <w:tcW w:type="dxa" w:w="4139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報告對應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官方查核佐證文件資料表</w:t>
            </w:r>
          </w:p>
        </w:tc>
        <w:tc>
          <w:tcPr>
            <w:tcW w:type="dxa" w:w="40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PDF p.1；指標 1 方框文字為「目標市場需求調查。」</w:t>
            </w:r>
          </w:p>
        </w:tc>
        <w:tc>
          <w:tcPr>
            <w:tcW w:type="dxa" w:w="413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官方要求定位；本報告表格位置見追溯表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官方評核表</w:t>
            </w:r>
          </w:p>
        </w:tc>
        <w:tc>
          <w:tcPr>
            <w:tcW w:type="dxa" w:w="40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PDF p.1 指標 1、2；pp.2–3 指標 7 等相關脈絡</w:t>
            </w:r>
          </w:p>
        </w:tc>
        <w:tc>
          <w:tcPr>
            <w:tcW w:type="dxa" w:w="413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用於確認市場需求與後續訓練規劃的關聯，不作本例數據來源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官方標準手冊</w:t>
            </w:r>
          </w:p>
        </w:tc>
        <w:tc>
          <w:tcPr>
            <w:tcW w:type="dxa" w:w="40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PDF pp.92、109、116–117</w:t>
            </w:r>
          </w:p>
        </w:tc>
        <w:tc>
          <w:tcPr>
            <w:tcW w:type="dxa" w:w="413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需求調查、結果分析與訓練規劃之脈絡；不提供本例數值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模擬資料集</w:t>
            </w:r>
          </w:p>
        </w:tc>
        <w:tc>
          <w:tcPr>
            <w:tcW w:type="dxa" w:w="40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scenario_id SYN-I01E02-QE003-20260925-01；唯一數字來源</w:t>
            </w:r>
          </w:p>
        </w:tc>
        <w:tc>
          <w:tcPr>
            <w:tcW w:type="dxa" w:w="413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樣本表、構面結果、偏好分類與示範矩陣</w:t>
            </w:r>
          </w:p>
        </w:tc>
      </w:tr>
    </w:tbl>
    <w:p>
      <w:pPr>
        <w:spacing w:before="0" w:after="20" w:line="168" w:lineRule="auto"/>
      </w:pP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表｜I01-E02 專屬要求追溯表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134"/>
        <w:gridCol w:w="1587"/>
        <w:gridCol w:w="1871"/>
        <w:gridCol w:w="2041"/>
        <w:gridCol w:w="1701"/>
        <w:gridCol w:w="1757"/>
      </w:tblGrid>
      <w:tr>
        <w:trPr>
          <w:tblHeader w:val="true"/>
          <w:cantSplit/>
        </w:trPr>
        <w:tc>
          <w:tcPr>
            <w:tcW w:type="dxa" w:w="1134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要求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資料來源</w:t>
            </w:r>
          </w:p>
        </w:tc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欄位／指標</w:t>
            </w:r>
          </w:p>
        </w:tc>
        <w:tc>
          <w:tcPr>
            <w:tcW w:type="dxa" w:w="204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結果</w:t>
            </w:r>
          </w:p>
        </w:tc>
        <w:tc>
          <w:tcPr>
            <w:tcW w:type="dxa" w:w="170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113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4"/>
              </w:rPr>
              <w:t>目標市場需求調查。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4"/>
              </w:rPr>
              <w:t>官方佐證資料表 PDF p.1；模擬資料集</w:t>
            </w:r>
          </w:p>
        </w:tc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4"/>
              </w:rPr>
              <w:t>有效樣本；重要度、現有機會、比例、缺口及偏好統計</w:t>
            </w:r>
          </w:p>
        </w:tc>
        <w:tc>
          <w:tcPr>
            <w:tcW w:type="dxa" w:w="204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4"/>
              </w:rPr>
              <w:t>本例計得樣本率及四構面結果；兩項落在資料集示範優先象限，均非實況或已核定決策。</w:t>
            </w:r>
          </w:p>
        </w:tc>
        <w:tc>
          <w:tcPr>
            <w:tcW w:type="dxa" w:w="170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4"/>
              </w:rPr>
              <w:t>樣本與回收表；構面結果表；重要度 × 缺口矩陣；證據索引</w:t>
            </w:r>
          </w:p>
        </w:tc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4"/>
              </w:rPr>
              <w:t>待人員覆核；真實調查日期、去識別化原始資料及檔案位置待補；不得升格 REAL。</w:t>
            </w:r>
          </w:p>
        </w:tc>
      </w:tr>
    </w:tbl>
    <w:p>
      <w:pPr>
        <w:spacing w:before="0" w:after="20" w:line="168" w:lineRule="auto"/>
      </w:pPr>
    </w:p>
    <w:sectPr w:rsidR="00FC693F" w:rsidRPr="0006063C" w:rsidSect="00034616">
      <w:pgSz w:w="11906" w:h="16838"/>
      <w:pgMar w:top="822" w:right="879" w:bottom="765" w:left="87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0" w:lineRule="auto"/>
    </w:pPr>
    <w:rPr>
      <w:rFonts w:ascii="Aptos" w:hAnsi="Aptos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10" w:after="50"/>
      <w:outlineLvl w:val="0"/>
    </w:pPr>
    <w:rPr>
      <w:rFonts w:asciiTheme="majorHAnsi" w:eastAsiaTheme="majorEastAsia" w:hAnsiTheme="majorHAnsi" w:cstheme="majorBidi" w:ascii="Aptos" w:hAnsi="Aptos" w:eastAsia="Microsoft JhengHei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10" w:after="50"/>
      <w:outlineLvl w:val="1"/>
    </w:pPr>
    <w:rPr>
      <w:rFonts w:asciiTheme="majorHAnsi" w:eastAsiaTheme="majorEastAsia" w:hAnsiTheme="majorHAnsi" w:cstheme="majorBidi" w:ascii="Aptos" w:hAnsi="Aptos" w:eastAsia="Microsoft JhengHei"/>
      <w:b/>
      <w:bCs/>
      <w:color w:val="17365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" w:line="240" w:lineRule="auto" w:before="0"/>
      <w:contextualSpacing/>
    </w:pPr>
    <w:rPr>
      <w:rFonts w:asciiTheme="majorHAnsi" w:eastAsiaTheme="majorEastAsia" w:hAnsiTheme="majorHAnsi" w:cstheme="majorBidi" w:ascii="Aptos" w:hAnsi="Aptos" w:eastAsia="Microsoft JhengHe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目標市場需求分析報告</dc:title>
  <dc:subject>I01-E02 擬真示範分析；非協會實際調查或成果</dc:subject>
  <dc:creator/>
  <cp:keywords/>
  <dc:description>SYNTHETIC_COMPLETE_DRAFT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