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ptos" w:hAnsi="Aptos" w:eastAsia="Microsoft JhengHei"/>
          <w:b/>
          <w:color w:val="17365D"/>
          <w:sz w:val="40"/>
        </w:rPr>
        <w:t>目標市場需求分析報告</w:t>
      </w:r>
    </w:p>
    <w:p>
      <w:pPr>
        <w:keepNext/>
        <w:keepLines/>
        <w:spacing w:after="40" w:before="0" w:line="252" w:lineRule="auto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示範如何整理問卷，並比較需求重要度與現有學習機會的差距。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0091"/>
      </w:tblGrid>
      <w:tr>
        <w:tc>
          <w:tcPr>
            <w:tcW w:type="dxa" w:w="10091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JhengHei"/>
                <w:b/>
                <w:color w:val="9C5700"/>
                <w:sz w:val="20"/>
              </w:rPr>
              <w:t>擬真示範分析｜非協會實際調查或成果</w:t>
            </w:r>
          </w:p>
        </w:tc>
      </w:tr>
    </w:tbl>
    <w:p>
      <w:pPr>
        <w:keepNext/>
        <w:keepLines/>
        <w:widowControl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①整理示範樣本；②計算各需求主題的分布；③依示範門檻排列優先順序；④列出真實調查前仍須核實的事項。　責任：正式調查及結果覆核角色待指定。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全部數字及結論均為擬真示範，不是協會問卷、需求結論或課程決議。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有效作答結果、分群與需求優先矩陣、真實資料驗證步驟、證據索引與要求追溯。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本示範依資料集提供的有效作答，計算構面重要度、現有學習機會與描述性差距；依資料集限定的示範門檻，優先矩陣列示兩項構面。以下僅供日後人員審閱分析口徑，不代表協會、目標市場或已作成課程決議。</w:t>
      </w:r>
    </w:p>
    <w:p>
      <w:pPr>
        <w:pStyle w:val="Heading1"/>
      </w:pPr>
      <w:r>
        <w:t>目的與分析方法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本報告直接回應 I01-E02「目標市場需求調查。」並示範如何把需求題目、回收概況、構面評分與偏好統計連到後續課程規劃檢視。數值唯一來源為指定模擬資料集；官方資料僅用於核對要求及佐證脈絡。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評分構面使用 1–5 分。需求平均為有效重要度評分加總除以有效作答數；高需求比例為重要度 4 或 5 分人數除以有效作答數；描述性缺口為重要度平均減現有機會平均。多選題只報選取次數；偏好及費用區間只報模擬分類人數。</w:t>
      </w:r>
    </w:p>
    <w:p>
      <w:pPr>
        <w:pStyle w:val="Heading1"/>
      </w:pPr>
      <w:r>
        <w:t>樣本範圍與限制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例沒有真實母體、抽樣框、招募管道或調查日期；邀請與回收數均為擬真計數，不構成抽樣代表性。資料集不含個人層級資料，也沒有實際受訪者、引述、班次、核准或協會營運資訊。有效作答按資料集所列數計算；實際調查仍須先定義缺漏值與排除規則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表｜示範樣本與回收率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757"/>
        <w:gridCol w:w="1191"/>
        <w:gridCol w:w="7143"/>
      </w:tblGrid>
      <w:tr>
        <w:trPr>
          <w:tblHeader w:val="true"/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擬真數值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計算口徑／界線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邀請數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12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擬真計數；非實際邀請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回收數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回收率＝回收／邀請＝10/12＝83.3%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擬真有效作答數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有效回收率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100%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有效／回收＝10/10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D9EA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4364B"/>
                <w:sz w:val="17"/>
              </w:rPr>
              <w:t>分群結果</w:t>
            </w:r>
          </w:p>
        </w:tc>
        <w:tc>
          <w:tcPr>
            <w:tcW w:type="dxa" w:w="1191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不提供</w:t>
            </w:r>
          </w:p>
        </w:tc>
        <w:tc>
          <w:tcPr>
            <w:tcW w:type="dxa" w:w="7143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資料集無個人層級及人口／身份欄位；不作分群推論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有效作答結果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構面結果由資料集內的逐筆分數重算；括號列示總分與分母，以供算術核對。高需求比例以 4 或 5 分計算，缺口僅為本例描述值。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表｜需求構面重要度、現有機會與差距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91"/>
        <w:gridCol w:w="1814"/>
        <w:gridCol w:w="1587"/>
        <w:gridCol w:w="2324"/>
        <w:gridCol w:w="907"/>
      </w:tblGrid>
      <w:tr>
        <w:trPr>
          <w:tblHeader w:val="true"/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構面（沿用資料集原名）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重要度平均（總分／n）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4–5 分（人數／比例）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現有機會平均（總分／n）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缺口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健康資訊辨識與健康教育基礎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3.6（36/10）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6/10；60%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2.4（24/10）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日常活動與身體使用安全常識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4.0（40/10）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7/10；70%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傳統整復推拿相關技術之教育性入門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3.4（34/10）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5/10；50%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3.0（30/10）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服務溝通、倫理與顧客權益資訊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3.2（32/10）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4/10；40%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</w:tbl>
    <w:p>
      <w:pPr>
        <w:spacing w:before="0" w:after="20" w:line="168" w:lineRule="auto"/>
      </w:pP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表｜需求主題多選次數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7937"/>
        <w:gridCol w:w="1587"/>
      </w:tblGrid>
      <w:tr>
        <w:trPr>
          <w:tblHeader w:val="true"/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需求主題（資料集原名）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選取次數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健康資訊辨識與健康教育基礎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日常活動與身體使用安全常識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傳統整復推拿相關技術之教育性入門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服務溝通、倫理與顧客權益資訊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5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多選最多選 3 項；本表為 10 份擬真有效作答的選取次數，不是市場比例。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表｜課程偏好分類人數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14"/>
        <w:gridCol w:w="6236"/>
        <w:gridCol w:w="1474"/>
      </w:tblGrid>
      <w:tr>
        <w:trPr>
          <w:tblHeader w:val="true"/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偏好欄位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選項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擬真人數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平日晚上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週末上午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週末下午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彈性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2小時內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2至3小時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半日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全日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多次分段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面對面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即時線上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自主數位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混合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無偏好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每個偏好欄位依資料集各有 10 份分類回答；不得解讀為實際報名、可開班時段或課程規格。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表｜參訓障礙與虛構費用回答區間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35"/>
        <w:gridCol w:w="1191"/>
        <w:gridCol w:w="4309"/>
        <w:gridCol w:w="1191"/>
      </w:tblGrid>
      <w:tr>
        <w:trPr>
          <w:tblHeader w:val="true"/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障礙類別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選取次數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費用回答選項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模擬人數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時間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免費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交通或地點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新臺幣1至500元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費用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新臺幣501至1000元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內容或程度不合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新臺幣1001至2000元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工作或家庭安排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新臺幣2001元以上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設備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需先了解課程規格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其他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多選合計（10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18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費用分類合計（10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10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障礙題為多選（10 份、18 次選取）。費用欄只呈現虛構答案區間分布，不是價格、行情、報價或支付意願結果。</w:t>
      </w:r>
    </w:p>
    <w:p>
      <w:pPr>
        <w:pStyle w:val="Heading1"/>
      </w:pPr>
      <w:r>
        <w:t>分群與需求優先矩陣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資料集未提供個人層級或人口／身份欄位，因此不作人口或身份分群，也不以偏好分類冒充受訪者分群。</w:t>
      </w:r>
    </w:p>
    <w:p>
      <w:pPr>
        <w:pStyle w:val="Heading3"/>
      </w:pPr>
      <w:r>
        <w:t>分群分析填報表（僅在資料適用時使用）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088"/>
            <w:vAlign w:val="center"/>
            <w:shd w:fill="1F4E78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事前核定分群維度／類別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有效 n／分母／缺答</w:t>
            </w:r>
          </w:p>
        </w:tc>
        <w:tc>
          <w:tcPr>
            <w:tcW w:type="dxa" w:w="3096"/>
            <w:vAlign w:val="center"/>
            <w:shd w:fill="1F4E78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需求平均／高需求比例／現況與差距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來源／限制／覆核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[待填：非識別性維度與組別]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[待填]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[依一致口徑計算；無真值不填]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[檔名／頁次、代表性與缺漏待填]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[第二組；無適用分群填 N/A 並說明原因]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[待填]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[待計算]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[隱私檢核、覆核角色／日期待填]</w:t>
            </w:r>
          </w:p>
        </w:tc>
      </w:tr>
    </w:tbl>
    <w:p>
      <w:pPr>
        <w:spacing w:before="40" w:after="80"/>
      </w:pPr>
      <w:r>
        <w:rPr>
          <w:rFonts w:ascii="Microsoft JhengHei" w:hAnsi="Microsoft JhengHei"/>
          <w:sz w:val="18"/>
        </w:rPr>
        <w:t>使用限制：只採用事前核定、非識別且有足夠樣本的分類。樣本過少、可能識別個人或資料欄位不足時，填「N/A」並寫明原因；不得事後挑選分群、外推小樣本或補造數值。本次模擬資料沒有分群欄位，因此本表不代表任何協會分群結果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下表只依資料集的示範規則判讀：重要度平均 ≥ 3.5 且缺口 ≥ 1.0 才列為「示範優先」。這不是協會核定的決策門檻，矩陣判讀須待人員覆核。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表｜重要度 × 缺口示範優先矩陣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110"/>
        <w:gridCol w:w="4110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重要度平均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缺口高（≥ 1.0）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缺口未達（&lt; 1.0）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重要度高（≥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健康資訊辨識與健康教育基礎</w:t>
              <w:br/>
              <w:t>日常活動與身體使用安全常識</w:t>
              <w:br/>
              <w:t>示範優先；待人員審閱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重要度未達（&lt;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傳統整復推拿相關技術之教育性入門</w:t>
              <w:br/>
              <w:t>服務溝通、倫理與顧客權益資訊</w:t>
              <w:br/>
              <w:t>示範未達雙條件；待驗證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供日後人員審閱的規劃含意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條件式提案：若真實調查獨立重現矩陣排序，再檢視「健康資訊辨識與健康教育基礎」及「日常活動與身體使用安全常識」的教學可行性；本示範不核定課程、班次、師資、時程或費用。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課程界線：健康教育及傳統整復推拿技術入門均維持非醫療、教育性定位；不據此提出診斷、治療效能或醫療結果主張。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偏好及費用：時段、時數、方式、障礙及虛構費用區間分布僅供後續問卷檢核；不得直接形成招生、定價或開班決策。</w:t>
      </w:r>
    </w:p>
    <w:p>
      <w:pPr>
        <w:pStyle w:val="Heading1"/>
      </w:pPr>
      <w:r>
        <w:t>真實資料驗證步驟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先界定目標母體、地區、納入條件、抽樣框及招募方式，並確認資料蒐集與告知方式。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由人員核定題目、量尺、缺漏值及無效表單處理規則；保留可追溯但去識別化的原始資料與調查日期、管道和附件位置。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以真實資料重算有效回收率、題項統計、構面平均與缺口；僅在樣本足夠、隱私安全且有合理解釋時進行分群。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審查示範門檻是否適用，再由人員結合資源、法規及品質條件提出課程決定；核准、簽章、實際班次與費用均另以真實證據核實。</w:t>
      </w:r>
    </w:p>
    <w:p>
      <w:pPr>
        <w:pStyle w:val="Heading1"/>
      </w:pPr>
      <w:r>
        <w:t>證據索引與 I01-E02 追溯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表｜證據索引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082"/>
        <w:gridCol w:w="4139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來源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定位／用途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報告對應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官方查核佐證文件資料表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p.1；指標 1 方框文字為「目標市場需求調查。」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官方要求定位；本報告表格位置見追溯表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官方評核表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 指標 1、2；pp.2–3 指標 7 等相關脈絡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用於確認市場需求與後續訓練規劃的關聯，不作本例數據來源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官方標準手冊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pp.92、109、116–117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需求調查、結果分析與訓練規劃之脈絡；不提供本例數值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模擬資料集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scenario_id SYN-I01E02-QE003-20260925-01；唯一數字來源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樣本表、構面結果、偏好分類與示範矩陣</w:t>
            </w:r>
          </w:p>
        </w:tc>
      </w:tr>
    </w:tbl>
    <w:p>
      <w:pPr>
        <w:spacing w:before="0" w:after="20" w:line="168" w:lineRule="auto"/>
      </w:pP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表｜I01-E02 專屬要求追溯表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134"/>
        <w:gridCol w:w="1587"/>
        <w:gridCol w:w="1871"/>
        <w:gridCol w:w="2041"/>
        <w:gridCol w:w="1701"/>
        <w:gridCol w:w="1757"/>
      </w:tblGrid>
      <w:tr>
        <w:trPr>
          <w:tblHeader w:val="true"/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欄位／指標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結果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4"/>
              </w:rPr>
              <w:t>目標市場需求調查。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官方佐證資料表 PDF p.1；模擬資料集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有效樣本；重要度、現有機會、比例、缺口及偏好統計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本例計得樣本率及四構面結果；兩項落在資料集示範優先象限，均非實況或已核定決策。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樣本與回收表；構面結果表；重要度 × 缺口矩陣；證據索引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待人員覆核；真實調查日期、去識別化原始資料及檔案位置待補；不得升格 REAL。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  <w:keepNext/>
        <w:pageBreakBefore/>
      </w:pPr>
      <w:r>
        <w:t>真實資料更新與課程研議決策表</w:t>
      </w:r>
    </w:p>
    <w:p>
      <w:pPr>
        <w:keepLines/>
        <w:spacing w:after="80"/>
      </w:pPr>
      <w:r>
        <w:t>本頁供取得真實調查原件後更新分析。與0004問卷表單交叉使用；不可把本報告的擬真數值抄入真實結果欄。缺少原件時保留待補，不能作實際課程或市場決策。</w:t>
      </w:r>
    </w:p>
    <w:p>
      <w:pPr>
        <w:pStyle w:val="Heading2"/>
        <w:keepNext/>
      </w:pPr>
      <w:r>
        <w:t>真實需求結果更新表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212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需求構面／指標</w:t>
            </w:r>
          </w:p>
        </w:tc>
        <w:tc>
          <w:tcPr>
            <w:tcW w:type="dxa" w:w="186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期間／有效n／分母</w:t>
            </w:r>
          </w:p>
        </w:tc>
        <w:tc>
          <w:tcPr>
            <w:tcW w:type="dxa" w:w="186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重要度／現況平均</w:t>
            </w:r>
          </w:p>
        </w:tc>
        <w:tc>
          <w:tcPr>
            <w:tcW w:type="dxa" w:w="224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差距／缺值／限制</w:t>
            </w:r>
          </w:p>
        </w:tc>
        <w:tc>
          <w:tcPr>
            <w:tcW w:type="dxa" w:w="2055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原始來源／覆核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健康資訊辨識與健康教育基礎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日常活動與身體使用安全常識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傳統整復推拿相關技術之教育性入門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服務溝通、倫理與顧客權益資訊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其他經來源支持的需求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[新增前先記來源與範圍]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[定義、有效n及真實值待填]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[不可與既有構面混用]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</w:tbl>
    <w:p>
      <w:pPr>
        <w:keepLines/>
        <w:spacing w:after="80"/>
      </w:pPr>
      <w:r>
        <w:t>研判順序：先核對來源、期間、母體、題目版本與有效n；再依同一口徑重算重要度、現有機會與缺口；確認分群條件和樣本限制後，才填寫解讀。任何門檻、分群方法或課程決定均須另有權責核定，不沿用本報告的示範門檻。</w:t>
      </w:r>
    </w:p>
    <w:p>
      <w:pPr>
        <w:pStyle w:val="Heading2"/>
        <w:keepNext/>
      </w:pPr>
      <w:r>
        <w:t>需求解讀與課程決策紀錄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145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需求／證據ID</w:t>
            </w:r>
          </w:p>
        </w:tc>
        <w:tc>
          <w:tcPr>
            <w:tcW w:type="dxa" w:w="227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解讀、差異原因與限制</w:t>
            </w:r>
          </w:p>
        </w:tc>
        <w:tc>
          <w:tcPr>
            <w:tcW w:type="dxa" w:w="241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研議決定與依據</w:t>
            </w:r>
          </w:p>
        </w:tc>
        <w:tc>
          <w:tcPr>
            <w:tcW w:type="dxa" w:w="172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責任角色／期限</w:t>
            </w:r>
          </w:p>
        </w:tc>
        <w:tc>
          <w:tcPr>
            <w:tcW w:type="dxa" w:w="227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下一次驗證指標／來源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[以真實結果和限制說明；未知原因留待查證]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[不得只由目標未達推定原因]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[標記缺值、外部因素和可比性限制]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</w:tbl>
    <w:p>
      <w:pPr>
        <w:pStyle w:val="Heading2"/>
        <w:keepNext/>
      </w:pPr>
      <w:r>
        <w:t>資料品質、停止條件與再驗證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13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觸發情況</w:t>
            </w:r>
          </w:p>
        </w:tc>
        <w:tc>
          <w:tcPr>
            <w:tcW w:type="dxa" w:w="2647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立即處理</w:t>
            </w:r>
          </w:p>
        </w:tc>
        <w:tc>
          <w:tcPr>
            <w:tcW w:type="dxa" w:w="353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可繼續分析條件／證據</w:t>
            </w:r>
          </w:p>
        </w:tc>
        <w:tc>
          <w:tcPr>
            <w:tcW w:type="dxa" w:w="183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責任與期限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母體或抽樣框不明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不宣稱代表性；先補範圍及招募紀錄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範圍、期間、方法及來源可追溯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分母為零、缺值或口徑不一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標示無法計算；不以零或估值代替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定義、排除規則及分母一致並有覆核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只有擬真示例或無原始回覆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不填真實結果、不作實際課程決定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匿名化原始資料、問卷版本及計算底稿取得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排序欲轉成課程決策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提出待審議選項，不先宣稱採用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權責決議、資源/安全評估與追蹤指標留檔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</w:tbl>
    <w:sectPr w:rsidR="00FC693F" w:rsidRPr="0006063C" w:rsidSect="00034616">
      <w:pgSz w:w="11906" w:h="16838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0" w:lineRule="auto"/>
    </w:pPr>
    <w:rPr>
      <w:rFonts w:ascii="Aptos" w:hAnsi="Aptos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10" w:after="5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5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0"/>
      <w:contextualSpacing/>
    </w:pPr>
    <w:rPr>
      <w:rFonts w:asciiTheme="majorHAnsi" w:eastAsiaTheme="majorEastAsia" w:hAnsiTheme="majorHAnsi" w:cstheme="majorBidi" w:ascii="Aptos" w:hAnsi="Aptos" w:eastAsia="Microsoft Jheng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目標市場需求分析報告</dc:title>
  <dc:subject>I01-E02 擬真示範分析；非協會實際調查或成果</dc:subject>
  <dc:creator/>
  <cp:keywords/>
  <dc:description>SYNTHETIC_COMPLETE_DRAFT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