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</w:pPr>
      <w:r>
        <w:rPr>
          <w:rFonts w:ascii="Microsoft JhengHei" w:hAnsi="Microsoft JhengHei" w:eastAsia="Microsoft JhengHei"/>
          <w:b/>
          <w:color w:val="183B63"/>
          <w:sz w:val="38"/>
        </w:rPr>
        <w:t>訓練提供方式及選擇指標</w:t>
      </w:r>
    </w:p>
    <w:p>
      <w:pPr>
        <w:spacing w:after="100"/>
      </w:pPr>
      <w:r>
        <w:rPr>
          <w:rFonts w:ascii="Microsoft JhengHei" w:hAnsi="Microsoft JhengHei" w:eastAsia="Microsoft JhengHei"/>
          <w:b w:val="0"/>
          <w:color w:val="245A81"/>
          <w:sz w:val="20"/>
        </w:rPr>
        <w:t>方式比較、選擇紀錄與檢核表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shd w:fill="FFF2CC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9"/>
              </w:rPr>
              <w:t>工作稿｜待實際資料或核定。本文件內容供協會整理與修訂；未經核定、未實際執行或未取得原始證明的事項，不得作為既成事實。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這份文件要證明什麼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訓練的提供方式及選擇的指標。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怎麼使用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按學習目標、學員條件、實作安全、師資與設備選擇方式，留下理由與核定紀錄。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評核委員先看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先看方式比較表、選擇檢核表及決定紀錄。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已確認的真實資料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已確認：協會名稱；健康教育與傳統整復推拿技術為核心；並保留依實際市場需求發展多元課程的空間。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尚待補入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每門課程的學習目標、學員需求、實際場地、師資、設備及成本資料。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一、選擇原則</w:t>
      </w:r>
    </w:p>
    <w:p>
      <w:pPr>
        <w:keepLines/>
        <w:spacing w:after="80" w:line="264" w:lineRule="auto"/>
      </w:pPr>
      <w:r>
        <w:rPr>
          <w:rFonts w:ascii="Microsoft JhengHei" w:hAnsi="Microsoft JhengHei" w:eastAsia="Microsoft JhengHei"/>
          <w:color w:val="24364B"/>
          <w:sz w:val="21"/>
        </w:rPr>
        <w:t>訓練方式應服務學習目標，不因方便而犧牲學習或安全。涉及傳統整復推拿技術之操作示範與練習，須依實際規範、師資能力、場地及風險安排適當的現場指導；線上方式不得取代必須由合格人員監督的實作。</w:t>
      </w:r>
    </w:p>
    <w:p>
      <w:pPr>
        <w:pStyle w:val="Heading1"/>
        <w:keepNext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二、方式比較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方式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較適合的學習活動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選用前確認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實體講授／討論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概念說明、案例討論、問答與即時檢核。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場地可及性、互動安排、教材及出席紀錄。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實體示範／分組練習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需要現場觀察、動作回饋或器材操作的學習。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師生比例、師資資格、器材、衛生、安全及停止條件。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同步線上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可遠距進行的概念、法規、經驗交流或短講。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設備與網路條件、身份與出席確認、互動及個資保護。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非同步線上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可自學的閱讀、短片、測驗及課前預習。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教材可讀性、完成紀錄、評量效度、著作權及無障礙需求。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混成方式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把自學、線上討論及必要的實體練習分段安排。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各段銜接、學員進度、缺課補足、實作安全與紀錄整合。</w:t>
            </w:r>
          </w:p>
        </w:tc>
      </w:tr>
    </w:tbl>
    <w:p>
      <w:pPr>
        <w:spacing w:after="20"/>
      </w:pPr>
    </w:p>
    <w:p>
      <w:pPr>
        <w:pStyle w:val="Heading1"/>
        <w:keepNext/>
        <w:pageBreakBefore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三、方式選擇檢核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檢核項目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判定（符合／部分／不符合／不適用）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理由與資料來源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方式能否讓學員達成每一項學習目標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[待評估]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學員時間、地點、設備與無障礙需求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[待評估]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實作風險、監督及緊急應變安排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[待評估]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師資與助教條件是否足以支援該方式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[待評估]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教材、場地、器材及數位平台是否可用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[待評估]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評量、出席、回饋與資料保存是否可行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[待評估]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個資、肖像、著作權及資訊安全風險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[待評估]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時間與成本是否符合核定資源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[待評估]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四、選擇與變更紀錄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tblHeader w:val="true"/>
          <w:cantSplit/>
        </w:trPr>
        <w:tc>
          <w:tcPr>
            <w:tcW w:type="dxa" w:w="2502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課程／版本</w:t>
            </w:r>
          </w:p>
        </w:tc>
        <w:tc>
          <w:tcPr>
            <w:tcW w:type="dxa" w:w="2502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選擇方式與理由</w:t>
            </w:r>
          </w:p>
        </w:tc>
        <w:tc>
          <w:tcPr>
            <w:tcW w:type="dxa" w:w="2502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審查、核定及日期</w:t>
            </w:r>
          </w:p>
        </w:tc>
        <w:tc>
          <w:tcPr>
            <w:tcW w:type="dxa" w:w="2502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檢討或變更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[待填]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[待填：依目標與檢核結果說明]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[待核定]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[實施後填寫]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[待填]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[待填]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[待核定]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[實施後填寫]</w:t>
            </w:r>
          </w:p>
        </w:tc>
      </w:tr>
    </w:tbl>
    <w:p>
      <w:pPr>
        <w:spacing w:after="20"/>
      </w:pPr>
    </w:p>
    <w:p>
      <w:pPr>
        <w:keepLines/>
        <w:spacing w:after="80" w:line="264" w:lineRule="auto"/>
      </w:pPr>
      <w:r>
        <w:rPr>
          <w:rFonts w:ascii="Microsoft JhengHei" w:hAnsi="Microsoft JhengHei" w:eastAsia="Microsoft JhengHei"/>
          <w:color w:val="24364B"/>
          <w:sz w:val="21"/>
        </w:rPr>
        <w:t>若執行中方式無法達成目標或出現安全、設備、出席及學習問題，先採取必要控制措施，再記錄影響、替代方式、通知及核准情形。</w:t>
      </w:r>
    </w:p>
    <w:p>
      <w:pPr>
        <w:pStyle w:val="Heading2"/>
        <w:keepNext/>
        <w:spacing w:before="100" w:after="60"/>
      </w:pPr>
      <w:r>
        <w:rPr>
          <w:rFonts w:ascii="Microsoft JhengHei" w:hAnsi="Microsoft JhengHei" w:eastAsia="Microsoft JhengHei"/>
          <w:b/>
          <w:color w:val="245A81"/>
          <w:sz w:val="23"/>
        </w:rPr>
        <w:t>依據與使用界線</w:t>
      </w:r>
    </w:p>
    <w:p>
      <w:pPr>
        <w:keepLines/>
        <w:spacing w:after="80" w:line="264" w:lineRule="auto"/>
      </w:pPr>
      <w:r>
        <w:rPr>
          <w:rFonts w:ascii="Microsoft JhengHei" w:hAnsi="Microsoft JhengHei" w:eastAsia="Microsoft JhengHei"/>
          <w:color w:val="24364B"/>
          <w:sz w:val="21"/>
        </w:rPr>
        <w:t>對應查核項目：訓練的提供方式及選擇的指標。</w:t>
      </w:r>
    </w:p>
    <w:p>
      <w:pPr>
        <w:keepLines/>
        <w:spacing w:after="80" w:line="264" w:lineRule="auto"/>
      </w:pPr>
      <w:r>
        <w:rPr>
          <w:rFonts w:ascii="Microsoft JhengHei" w:hAnsi="Microsoft JhengHei" w:eastAsia="Microsoft JhengHei"/>
          <w:color w:val="24364B"/>
          <w:sz w:val="21"/>
        </w:rPr>
        <w:t>來源：TTQS人才發展品質管理系統「查核佐證文件資料表－訓練機構版」，第2頁。本工作稿不是核定文件，也不是實際辦訓、學員、職務、調查、成效、第三方證明或財務成果。</w:t>
      </w:r>
    </w:p>
    <w:p>
      <w:r>
        <w:br w:type="page"/>
      </w:r>
    </w:p>
    <w:p>
      <w:pPr>
        <w:pStyle w:val="Heading1"/>
        <w:keepNext/>
      </w:pPr>
      <w:r>
        <w:rPr>
          <w:rFonts w:ascii="Microsoft JhengHei" w:hAnsi="Microsoft JhengHei" w:eastAsia="Microsoft JhengHei" w:cs="Microsoft JhengHei"/>
          <w:b/>
          <w:color w:val="1F4E78"/>
          <w:sz w:val="28"/>
        </w:rPr>
        <w:t>五、提供方式選擇規則、例外與版本管理</w:t>
      </w:r>
    </w:p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按學習目標選擇方式。若方式不能達成目標、實作安全無法監督或必要資源不可用，不得以方便或成本作唯一理由；改案或暫停並留下判斷。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tblHeader w:val="true"/>
        </w:trPr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課程／目標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候選方式與必要條件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證據／風險檢查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選擇及排除理由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核准功能／版本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[實體／同步／非同步／混成；逐目標判斷]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[師資、場地、器材、網路、無障礙、安全]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[待實際比較]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</w:tbl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tblHeader w:val="true"/>
        </w:trPr>
        <w:tc>
          <w:tcPr>
            <w:tcW w:type="dxa" w:w="25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判斷節點</w:t>
            </w:r>
          </w:p>
        </w:tc>
        <w:tc>
          <w:tcPr>
            <w:tcW w:type="dxa" w:w="25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符合時</w:t>
            </w:r>
          </w:p>
        </w:tc>
        <w:tc>
          <w:tcPr>
            <w:tcW w:type="dxa" w:w="25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不符合時</w:t>
            </w:r>
          </w:p>
        </w:tc>
        <w:tc>
          <w:tcPr>
            <w:tcW w:type="dxa" w:w="25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紀錄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每個目標均能以所選方式教學與評量？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進入資源檢核。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重選方式或修改方案，不直接核定。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目標—方式對照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需實作的風險、師資、設備與停止條件已確認？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進入審查核定。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暫停安排，補足控制後再審。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安全檢核與待辦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版本、學員條件及對外資訊一致？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核定後才發布。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退回修訂；不得發布不一致資訊。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核定版及發布紀錄</w:t>
            </w:r>
          </w:p>
        </w:tc>
      </w:tr>
    </w:tbl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tblHeader w:val="true"/>
        </w:trPr>
        <w:tc>
          <w:tcPr>
            <w:tcW w:type="dxa" w:w="25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例外／變更</w:t>
            </w:r>
          </w:p>
        </w:tc>
        <w:tc>
          <w:tcPr>
            <w:tcW w:type="dxa" w:w="25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立即控制</w:t>
            </w:r>
          </w:p>
        </w:tc>
        <w:tc>
          <w:tcPr>
            <w:tcW w:type="dxa" w:w="25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覆核／核准</w:t>
            </w:r>
          </w:p>
        </w:tc>
        <w:tc>
          <w:tcPr>
            <w:tcW w:type="dxa" w:w="25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公告與保存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師資、場地、設備或學員條件改變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評估對目標、安全、出席及評量的影響；必要時停課或調整。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[依授權規則待核定]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保存變更原因、通知、同意及版次。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方式未能支援目標或評量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不得以出席或滿意度替代學習證據。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重審目標—工具—證據連結。</w:t>
            </w:r>
          </w:p>
        </w:tc>
      </w:tr>
    </w:tbl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政策檢討完成率＝已完成且有紀錄的應檢項數 ÷ 應檢項數。週期、核准功能及對外管道須由協會核定。追溯：官方要求「訓練的提供方式及選擇的指標」→ 方式比較及檢核 → 逐課程決定紀錄 → 核定版本／證據位置／覆核：[待填]。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未核定前不作為實際執行紀錄｜第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Microsoft JhengHei" w:hAnsi="Microsoft JhengHei"/>
      <w:color w:val="24364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訓練提供方式及選擇指標</dc:title>
  <dc:subject>訓練的提供方式及選擇的指標。</dc:subject>
  <dc:creator>社團法人屏東縣原始點關懷協會</dc:creator>
  <cp:keywords>TTQS; 工作稿; 待核定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