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Microsoft JhengHei" w:hAnsi="Microsoft JhengHei" w:eastAsia="Microsoft JhengHei"/>
          <w:b/>
          <w:color w:val="183B63"/>
          <w:sz w:val="38"/>
        </w:rPr>
        <w:t>訓練方案系統設計檢討與成效評估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245A81"/>
          <w:sz w:val="19"/>
        </w:rPr>
        <w:t>設計回顧、成效判定及改善紀錄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FF2CC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工作稿｜待填入實際資料或完成核定。本文不表示已核定課程、已聘任人員、已召開會議、已執行調查、已辦理訓練或已取得成效。</w:t>
            </w:r>
          </w:p>
        </w:tc>
      </w:tr>
    </w:tbl>
    <w:p>
      <w:pPr>
        <w:spacing w:after="10" w:line="168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8568"/>
      </w:tblGrid>
      <w:tr>
        <w:trPr>
          <w:tblHeader w:val="true"/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閱讀欄位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本文件用途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針對訓練方案的系統設計能適時檢討及改善，執行後有良好效果。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使用方式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以已核定的目標、方法、資源、評量和實際資料檢查系統設計；只有對照事先核定的判準及足夠原始證據後，才能判定效果。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評核先看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系統檢討架構、成效證據表、判定規則及改善閉環。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已確認資料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社團法人屏東縣原始點關懷協會；已確認方向：以健康教育及傳統整復推拿技術為核心，並保留依實際市場需求發展多元課程的空間。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尚待補入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實際核定課程方案、實際執行資料、評量工具、學員評量／回饋、缺失與改善後證據。</w:t>
            </w:r>
          </w:p>
        </w:tc>
      </w:tr>
    </w:tbl>
    <w:p>
      <w:pPr>
        <w:spacing w:after="20" w:before="0" w:line="192" w:lineRule="auto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DCEAF5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「執行後有良好效果」是待證明事項。本稿僅提供檢討與評量框架，沒有填入課程、評分、成效或改善結果。</w:t>
            </w:r>
          </w:p>
        </w:tc>
      </w:tr>
    </w:tbl>
    <w:p>
      <w:pPr>
        <w:spacing w:after="10" w:line="168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一、系統設計檢討範圍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4536"/>
        <w:gridCol w:w="3888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系統環節</w:t>
            </w:r>
          </w:p>
        </w:tc>
        <w:tc>
          <w:tcPr>
            <w:tcW w:type="dxa" w:w="453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檢討問題</w:t>
            </w:r>
          </w:p>
        </w:tc>
        <w:tc>
          <w:tcPr>
            <w:tcW w:type="dxa" w:w="38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依據與證據定位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需求與目標</w:t>
            </w:r>
          </w:p>
        </w:tc>
        <w:tc>
          <w:tcPr>
            <w:tcW w:type="dxa" w:w="453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需求來源是否可靠；目標是否回應差距並可觀察？</w:t>
            </w:r>
          </w:p>
        </w:tc>
        <w:tc>
          <w:tcPr>
            <w:tcW w:type="dxa" w:w="38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[問卷／訪談、分析、目標版次]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課程及方法</w:t>
            </w:r>
          </w:p>
        </w:tc>
        <w:tc>
          <w:tcPr>
            <w:tcW w:type="dxa" w:w="453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單元、方法、時程、教材是否支援目標？</w:t>
            </w:r>
          </w:p>
        </w:tc>
        <w:tc>
          <w:tcPr>
            <w:tcW w:type="dxa" w:w="38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[核定課程方案、教案及教材]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師資與對象</w:t>
            </w:r>
          </w:p>
        </w:tc>
        <w:tc>
          <w:tcPr>
            <w:tcW w:type="dxa" w:w="453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師資條件、學員條件及學習支持是否合適？</w:t>
            </w:r>
          </w:p>
        </w:tc>
        <w:tc>
          <w:tcPr>
            <w:tcW w:type="dxa" w:w="38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[實際資格核驗及遴選資料]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資源及安全</w:t>
            </w:r>
          </w:p>
        </w:tc>
        <w:tc>
          <w:tcPr>
            <w:tcW w:type="dxa" w:w="453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場地、設備、資料管理與安全控制是否可用？</w:t>
            </w:r>
          </w:p>
        </w:tc>
        <w:tc>
          <w:tcPr>
            <w:tcW w:type="dxa" w:w="38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[實際檢核及異常處理紀錄]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評量與資料</w:t>
            </w:r>
          </w:p>
        </w:tc>
        <w:tc>
          <w:tcPr>
            <w:tcW w:type="dxa" w:w="453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評量能否對應目標；資料是否完整、可追溯？</w:t>
            </w:r>
          </w:p>
        </w:tc>
        <w:tc>
          <w:tcPr>
            <w:tcW w:type="dxa" w:w="38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[工具、分母分子、原始資料及複核]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改善與追蹤</w:t>
            </w:r>
          </w:p>
        </w:tc>
        <w:tc>
          <w:tcPr>
            <w:tcW w:type="dxa" w:w="453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是否依證據決定改善並在後續確認？</w:t>
            </w:r>
          </w:p>
        </w:tc>
        <w:tc>
          <w:tcPr>
            <w:tcW w:type="dxa" w:w="38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[決議、變更版次、後續追蹤資料]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二、成效判定原則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先核定目標、衡量方法、資料來源、納入條件及接受判準，再蒐集成效資料。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區分投入、課程完成、學習評量、工作應用及其他後續結果，不以滿意度或單一個案推定全面成效。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說明分母、缺失、配對方式、工具限制及可能偏差；不得只呈現有利結果。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若樣本或證據不足，結論列待補或限制，不以「良好」代替資料。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健康教育與傳統整復推拿訓練只評估學習目標與安全界線，不據此推論醫療效果。</w:t>
      </w: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三、系統設計檢討與效果證據表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3096"/>
        <w:gridCol w:w="2520"/>
        <w:gridCol w:w="2520"/>
      </w:tblGrid>
      <w:tr>
        <w:trPr>
          <w:tblHeader w:val="true"/>
          <w:cantSplit/>
        </w:trPr>
        <w:tc>
          <w:tcPr>
            <w:tcW w:type="dxa" w:w="20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目標／判準</w:t>
            </w:r>
          </w:p>
        </w:tc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設計及實際資料來源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分析方式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結果與限制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[核定目標]</w:t>
            </w:r>
          </w:p>
        </w:tc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[工具版次、執行紀錄及原始檔位置]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[事前核定公式／判讀方式]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[待實際資料；含分母與限制]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[核定目標]</w:t>
            </w:r>
          </w:p>
        </w:tc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[工具版次、執行紀錄及原始檔位置]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[事前核定公式／判讀方式]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[待實際資料；含分母與限制]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[核定目標]</w:t>
            </w:r>
          </w:p>
        </w:tc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[工具版次、執行紀錄及原始檔位置]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[事前核定公式／判讀方式]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[待實際資料；含分母與限制]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四、檢討決議與成效結論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6912"/>
      </w:tblGrid>
      <w:tr>
        <w:trPr>
          <w:tblHeader w:val="true"/>
          <w:cantSplit/>
        </w:trPr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69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填寫內容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設計版本、執行範圍與期間</w:t>
            </w:r>
          </w:p>
        </w:tc>
        <w:tc>
          <w:tcPr>
            <w:tcW w:type="dxa" w:w="69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[待補；對照正式核定與實際執行資料]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符合／未符合／無法判定的項目</w:t>
            </w:r>
          </w:p>
        </w:tc>
        <w:tc>
          <w:tcPr>
            <w:tcW w:type="dxa" w:w="69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[逐項列判準、證據、樣本及結論理由]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成效結論與限制</w:t>
            </w:r>
          </w:p>
        </w:tc>
        <w:tc>
          <w:tcPr>
            <w:tcW w:type="dxa" w:w="69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[待完成分析後填寫；不預先標示良好]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改善決策、責任功能與期限</w:t>
            </w:r>
          </w:p>
        </w:tc>
        <w:tc>
          <w:tcPr>
            <w:tcW w:type="dxa" w:w="69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[待審查／核定]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下次檢討條件及附件索引</w:t>
            </w:r>
          </w:p>
        </w:tc>
        <w:tc>
          <w:tcPr>
            <w:tcW w:type="dxa" w:w="69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[待補；確保可追溯至原始證據]</w:t>
            </w:r>
          </w:p>
        </w:tc>
      </w:tr>
    </w:tbl>
    <w:p>
      <w:pPr>
        <w:spacing w:after="20" w:before="0" w:line="192" w:lineRule="auto"/>
      </w:pPr>
    </w:p>
    <w:p>
      <w:pPr>
        <w:pStyle w:val="Heading2"/>
        <w:keepNext/>
        <w:keepLines/>
        <w:spacing w:before="80" w:after="50"/>
      </w:pPr>
      <w:r>
        <w:rPr>
          <w:rFonts w:ascii="Microsoft JhengHei" w:hAnsi="Microsoft JhengHei" w:eastAsia="Microsoft JhengHei"/>
          <w:b/>
          <w:color w:val="245A81"/>
          <w:sz w:val="22"/>
        </w:rPr>
        <w:t>依據與使用界線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8"/>
        </w:rPr>
        <w:t>對應查核項目：針對訓練方案的系統設計能適時檢討及改善，執行後有良好效果。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7"/>
        </w:rPr>
        <w:t>來源：TTQS 人才發展品質管理系統「查核佐證文件資料表－訓練機構版」，第 2–3 頁。官方文字作為文件範圍依據；本稿中的流程、欄位及方法均為可供協會審議修訂的工作設計，不證明本會已採行。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7"/>
        </w:rPr>
        <w:t>健康教育及傳統整復推拿相關內容限於訓練與非醫療健康教育範圍；不得以本稿宣稱診斷、治療、療效或實際訓練成果。</w:t>
      </w:r>
    </w:p>
    <w:p>
      <w:pPr>
        <w:pStyle w:val="Heading1"/>
        <w:keepNext/>
      </w:pPr>
      <w:r>
        <w:rPr>
          <w:rFonts w:ascii="Microsoft JhengHei" w:hAnsi="Microsoft JhengHei" w:eastAsia="Microsoft JhengHei" w:cs="Microsoft JhengHei"/>
          <w:b/>
          <w:color w:val="1F4E78"/>
          <w:sz w:val="28"/>
        </w:rPr>
        <w:t>五、效果分析公式、判定規則與改善驗證</w:t>
      </w:r>
    </w:p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「執行後有良好效果」是需由實際資料支持的結論。本工具不預填成果；成效標準要在執行前核定。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68"/>
        <w:gridCol w:w="1668"/>
        <w:gridCol w:w="1668"/>
        <w:gridCol w:w="1668"/>
        <w:gridCol w:w="1668"/>
        <w:gridCol w:w="1668"/>
      </w:tblGrid>
      <w:tr>
        <w:trPr>
          <w:tblHeader w:val="true"/>
        </w:trPr>
        <w:tc>
          <w:tcPr>
            <w:tcW w:type="dxa" w:w="1668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目標／指標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基準／目標／接受判準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實際值／分子分母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差距及原因階段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限制／結論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改善／責任／再驗證</w:t>
            </w:r>
          </w:p>
        </w:tc>
      </w:tr>
      <w:tr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學習目標達成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[事前核定工具與門檻]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[待實際資料]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[需求／設計／執行／追蹤]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[待分析]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[待審議]</w:t>
            </w:r>
          </w:p>
        </w:tc>
      </w:tr>
      <w:tr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任務應用追蹤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[期間、對象及核定判準]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[待實際追蹤]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[待分析]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[自陳與佐證分開]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[待審議]</w:t>
            </w:r>
          </w:p>
        </w:tc>
      </w:tr>
      <w:tr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系統設計適切性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[檢核項目與核定門檻]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[有證據的項數／應檢數]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[待分析]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[樣本與資料限制]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[待審議]</w:t>
            </w:r>
          </w:p>
        </w:tc>
      </w:tr>
    </w:tbl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差距＝實績－事前核定目標。達成率＝達標且具有效證據的數量 ÷ 有效評估數量；需列缺考、未追蹤及無效紀錄。不同年度或版本不可直接比較時，說明工具與母體差異。沒有對照或足夠資料時，不宣稱因果或全面效果。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tblHeader w:val="true"/>
        </w:trPr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問題／改善來源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可驗證改變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責任／期限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下次資料與比較方式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結案覆核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[原始發現ID]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[課程／流程／工具變更]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[同口徑的後續資料]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待實際資料或核定後更新｜第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Microsoft JhengHei" w:hAnsi="Microsoft JhengHei" w:eastAsia="Microsoft JhengHei"/>
      <w:color w:val="24364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訓練方案系統設計檢討與成效評估</dc:title>
  <dc:subject>針對訓練方案的系統設計能適時檢討及改善，執行後有良好效果。</dc:subject>
  <dc:creator>社團法人屏東縣原始點關懷協會</dc:creator>
  <cp:keywords>TTQS; 工作稿; 待核定; 待原始資料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