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評量設計流程：課程目標 → 可觀察指標 → 工具與時點 → 原始資料及分母 → 計算與判定門檻 → 結果限制及判讀 → 改善決定 → 同口徑複核。接受標準須事前核定；未取得資料時保留空白。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