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六、定期比較、差距判讀與下一期驗證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本節是調查後的分析報告工具；目前沒有本會實際調查結果。不得以空表、公式或示意圖表示已調查或已有趨勢。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期間／母體／分母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完整性與排除規則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[問卷、訪談或服務資料待填]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[待填起訖與母體定義]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[事前規則、缺答與排除理由]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指標／基準／目標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實績與分子／分母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差距／原因階段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改善措施／責任／期限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再驗證指標／證據ID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差距＝實績－目標；原因分需求、設計、執行、追蹤或資料限制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改善率＝（改善後－改善前）÷改善前；基準為 0 時改報絕對變化或不適用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資料不足時填「無法判定」並說明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定期趨勢圖架構（有至少兩期可比實測資料後更新）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9360"/>
            <wp:docPr id="1" name="Picture 1" descr="無數據的趨勢圖框架；待實際調查後填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2_TREND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圖表僅呈現同口徑、可比較期間的實測資料。期間、母體、題目版本或分母不同時，不連線、不推論趨勢，並在報告列出限制。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官方要求／分析問題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資料來源及欄位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結果／結論狀態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訓練需求的定期調查與分析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[調查版本、期間、對象及題目]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[待取得資料後判讀]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差距來自需求、設計、執行或追蹤哪一段？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[逐項對照資料]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下一期用什麼指標驗證改善？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[核定目標及資料來源]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[待審議／核定]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調查設計與週期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對象母體、調查期間、邀請方式及問卷版次均有實際核定來源。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□不適用；依據／責任功能：[待填]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原始回覆與資料品質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可回查原始問卷或訪談；有效數、缺答、重複及排除理由符合事前規則。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統計口徑與趨勢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指標、分子分母、量尺及比較期間一致；未達可比條件時不畫趨勢、不推論改善。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結果、限制與決策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結論只涵蓋資料支持範圍；每項課程或非訓練決定都有來源、理由、責任及期限。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下一期驗證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明列用來驗證改善的指標、期間、工具版次及資料來源；未完成前維持待補。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□不適用；下次檢查：[待填]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  <w:p>
    <w:pPr>
      <w:pStyle w:val="Footer"/>
      <w:keepLines/>
      <w:spacing w:before="0" w:after="0"/>
      <w:jc w:val="center"/>
    </w:pPr>
    <w:r>
      <w:rPr>
        <w:rFonts w:ascii="Microsoft JhengHei" w:hAnsi="Microsoft JhengHei" w:eastAsia="Microsoft JhengHei"/>
        <w:color w:val="62748A"/>
        <w:sz w:val="16"/>
      </w:rPr>
      <w:t>來源：TTQS查核佐證文件資料表（訓練機構版），第2頁。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