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40"/>
      </w:pPr>
      <w:r>
        <w:rPr>
          <w:rFonts w:ascii="Microsoft JhengHei" w:hAnsi="Microsoft JhengHei" w:eastAsia="Microsoft JhengHei"/>
          <w:b/>
          <w:color w:val="183B63"/>
          <w:sz w:val="38"/>
        </w:rPr>
        <w:t>訓練提供方式及選擇指標</w:t>
      </w:r>
    </w:p>
    <w:p>
      <w:pPr>
        <w:spacing w:after="100"/>
      </w:pPr>
      <w:r>
        <w:rPr>
          <w:rFonts w:ascii="Microsoft JhengHei" w:hAnsi="Microsoft JhengHei" w:eastAsia="Microsoft JhengHei"/>
          <w:b w:val="0"/>
          <w:color w:val="245A81"/>
          <w:sz w:val="20"/>
        </w:rPr>
        <w:t>方式比較、選擇紀錄與檢核表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09"/>
      </w:tblGrid>
      <w:tr>
        <w:trPr>
          <w:cantSplit/>
        </w:trPr>
        <w:tc>
          <w:tcPr>
            <w:tcW w:type="dxa" w:w="10009"/>
            <w:vAlign w:val="center"/>
            <w:shd w:fill="FFF2CC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183B63"/>
                <w:sz w:val="19"/>
              </w:rPr>
              <w:t>工作稿｜待實際資料或核定。本文件內容供協會整理與修訂；未經核定、未實際執行或未取得原始證明的事項，不得作為既成事實。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04"/>
        <w:gridCol w:w="5004"/>
      </w:tblGrid>
      <w:tr>
        <w:trPr>
          <w:cantSplit/>
        </w:trPr>
        <w:tc>
          <w:tcPr>
            <w:tcW w:type="dxa" w:w="5004"/>
            <w:vAlign w:val="center"/>
            <w:shd w:fill="DCEAF5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183B63"/>
                <w:sz w:val="17"/>
              </w:rPr>
              <w:t>這份文件要證明什麼</w:t>
            </w:r>
          </w:p>
        </w:tc>
        <w:tc>
          <w:tcPr>
            <w:tcW w:type="dxa" w:w="5004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訓練的提供方式及選擇的指標。</w:t>
            </w:r>
          </w:p>
        </w:tc>
      </w:tr>
      <w:tr>
        <w:trPr>
          <w:cantSplit/>
        </w:trPr>
        <w:tc>
          <w:tcPr>
            <w:tcW w:type="dxa" w:w="5004"/>
            <w:vAlign w:val="center"/>
            <w:shd w:fill="DCEAF5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183B63"/>
                <w:sz w:val="17"/>
              </w:rPr>
              <w:t>怎麼使用</w:t>
            </w:r>
          </w:p>
        </w:tc>
        <w:tc>
          <w:tcPr>
            <w:tcW w:type="dxa" w:w="5004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按學習目標、學員條件、實作安全、師資與設備選擇方式，留下理由與核定紀錄。</w:t>
            </w:r>
          </w:p>
        </w:tc>
      </w:tr>
      <w:tr>
        <w:trPr>
          <w:cantSplit/>
        </w:trPr>
        <w:tc>
          <w:tcPr>
            <w:tcW w:type="dxa" w:w="5004"/>
            <w:vAlign w:val="center"/>
            <w:shd w:fill="DCEAF5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183B63"/>
                <w:sz w:val="17"/>
              </w:rPr>
              <w:t>評核委員先看</w:t>
            </w:r>
          </w:p>
        </w:tc>
        <w:tc>
          <w:tcPr>
            <w:tcW w:type="dxa" w:w="5004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先看方式比較表、選擇檢核表及決定紀錄。</w:t>
            </w:r>
          </w:p>
        </w:tc>
      </w:tr>
      <w:tr>
        <w:trPr>
          <w:cantSplit/>
        </w:trPr>
        <w:tc>
          <w:tcPr>
            <w:tcW w:type="dxa" w:w="5004"/>
            <w:vAlign w:val="center"/>
            <w:shd w:fill="DCEAF5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183B63"/>
                <w:sz w:val="17"/>
              </w:rPr>
              <w:t>已確認的真實資料</w:t>
            </w:r>
          </w:p>
        </w:tc>
        <w:tc>
          <w:tcPr>
            <w:tcW w:type="dxa" w:w="5004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已確認：協會名稱；健康教育與傳統整復推拿技術為核心；並保留依實際市場需求發展多元課程的空間。</w:t>
            </w:r>
          </w:p>
        </w:tc>
      </w:tr>
      <w:tr>
        <w:trPr>
          <w:cantSplit/>
        </w:trPr>
        <w:tc>
          <w:tcPr>
            <w:tcW w:type="dxa" w:w="5004"/>
            <w:vAlign w:val="center"/>
            <w:shd w:fill="DCEAF5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183B63"/>
                <w:sz w:val="17"/>
              </w:rPr>
              <w:t>尚待補入</w:t>
            </w:r>
          </w:p>
        </w:tc>
        <w:tc>
          <w:tcPr>
            <w:tcW w:type="dxa" w:w="5004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每門課程的學習目標、學員需求、實際場地、師資、設備及成本資料。</w:t>
            </w:r>
          </w:p>
        </w:tc>
      </w:tr>
    </w:tbl>
    <w:p>
      <w:pPr>
        <w:spacing w:after="20"/>
      </w:pPr>
    </w:p>
    <w:p>
      <w:pPr>
        <w:spacing w:after="120"/>
      </w:pPr>
      <w:r>
        <w:rPr>
          <w:b/>
        </w:rPr>
        <w:t>文件目的與適用範圍：</w:t>
      </w:r>
      <w:r>
        <w:t>本文件規範擬開設或變更課程的提供方式選擇，適用於實體、同步／非同步線上及混成方式；須兼顧目標、對象、評量、安全及必要資源。</w:t>
      </w:r>
    </w:p>
    <w:p>
      <w:pPr>
        <w:pStyle w:val="Heading1"/>
        <w:keepNext/>
        <w:spacing w:before="160" w:after="60"/>
      </w:pPr>
      <w:r>
        <w:rPr>
          <w:rFonts w:ascii="Microsoft JhengHei" w:hAnsi="Microsoft JhengHei" w:eastAsia="Microsoft JhengHei"/>
          <w:b/>
          <w:color w:val="183B63"/>
          <w:sz w:val="28"/>
        </w:rPr>
        <w:t>一、選擇原則</w:t>
      </w:r>
    </w:p>
    <w:p>
      <w:pPr>
        <w:keepLines/>
        <w:spacing w:after="80" w:line="264" w:lineRule="auto"/>
      </w:pPr>
      <w:r>
        <w:rPr>
          <w:rFonts w:ascii="Microsoft JhengHei" w:hAnsi="Microsoft JhengHei" w:eastAsia="Microsoft JhengHei"/>
          <w:color w:val="24364B"/>
          <w:sz w:val="21"/>
        </w:rPr>
        <w:t>訓練方式應服務學習目標，不因方便而犧牲學習或安全。涉及傳統整復推拿技術之操作示範與練習，須依實際規範、師資能力、場地及風險安排適當的現場指導；線上方式不得取代必須由合格人員監督的實作。</w:t>
      </w:r>
    </w:p>
    <w:p>
      <w:pPr>
        <w:spacing w:after="120"/>
      </w:pPr>
      <w:r>
        <w:t>角色權責（功能分工；實際人員與授權待核定）：課程規劃功能提出目標—方式對照；專業／授課功能檢視教學與評量可行性；安全／行政功能核實師資、場地、設備、個資與通知；依章程授權的核定功能決定並核版；文件管理功能保存選擇及變更紀錄。</w:t>
      </w:r>
    </w:p>
    <w:p>
      <w:pPr>
        <w:pStyle w:val="Heading1"/>
        <w:keepNext/>
        <w:spacing w:before="160" w:after="60"/>
      </w:pPr>
      <w:r>
        <w:rPr>
          <w:rFonts w:ascii="Microsoft JhengHei" w:hAnsi="Microsoft JhengHei" w:eastAsia="Microsoft JhengHei"/>
          <w:b/>
          <w:color w:val="183B63"/>
          <w:sz w:val="28"/>
        </w:rPr>
        <w:t>二、方式比較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36"/>
        <w:gridCol w:w="3336"/>
        <w:gridCol w:w="3336"/>
      </w:tblGrid>
      <w:tr>
        <w:trPr>
          <w:tblHeader w:val="true"/>
          <w:cantSplit/>
        </w:trPr>
        <w:tc>
          <w:tcPr>
            <w:tcW w:type="dxa" w:w="3336"/>
            <w:vAlign w:val="center"/>
            <w:shd w:fill="183B63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方式</w:t>
            </w:r>
          </w:p>
        </w:tc>
        <w:tc>
          <w:tcPr>
            <w:tcW w:type="dxa" w:w="3336"/>
            <w:vAlign w:val="center"/>
            <w:shd w:fill="183B63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較適合的學習活動</w:t>
            </w:r>
          </w:p>
        </w:tc>
        <w:tc>
          <w:tcPr>
            <w:tcW w:type="dxa" w:w="3336"/>
            <w:vAlign w:val="center"/>
            <w:shd w:fill="183B63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選用前確認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實體講授／討論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概念說明、案例討論、問答與即時檢核。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場地可及性、互動安排、教材及出席紀錄。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實體示範／分組練習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需要現場觀察、動作回饋或器材操作的學習。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師生比例、師資資格、器材、衛生、安全及停止條件。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同步線上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可遠距進行的概念、法規、經驗交流或短講。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設備與網路條件、身份與出席確認、互動及個資保護。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非同步線上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可自學的閱讀、短片、測驗及課前預習。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教材可讀性、完成紀錄、評量效度、著作權及無障礙需求。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混成方式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把自學、線上討論及必要的實體練習分段安排。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各段銜接、學員進度、缺課補足、實作安全與紀錄整合。</w:t>
            </w:r>
          </w:p>
        </w:tc>
      </w:tr>
    </w:tbl>
    <w:p>
      <w:pPr>
        <w:spacing w:after="20"/>
      </w:pPr>
    </w:p>
    <w:p>
      <w:pPr>
        <w:pStyle w:val="Heading1"/>
        <w:keepNext/>
        <w:pageBreakBefore/>
        <w:spacing w:before="160" w:after="60"/>
      </w:pPr>
      <w:r>
        <w:rPr>
          <w:rFonts w:ascii="Microsoft JhengHei" w:hAnsi="Microsoft JhengHei" w:eastAsia="Microsoft JhengHei"/>
          <w:b/>
          <w:color w:val="183B63"/>
          <w:sz w:val="28"/>
        </w:rPr>
        <w:t>三、方式選擇檢核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36"/>
        <w:gridCol w:w="3336"/>
        <w:gridCol w:w="3336"/>
      </w:tblGrid>
      <w:tr>
        <w:trPr>
          <w:tblHeader w:val="true"/>
          <w:cantSplit/>
        </w:trPr>
        <w:tc>
          <w:tcPr>
            <w:tcW w:type="dxa" w:w="3336"/>
            <w:vAlign w:val="center"/>
            <w:shd w:fill="183B63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檢核項目</w:t>
            </w:r>
          </w:p>
        </w:tc>
        <w:tc>
          <w:tcPr>
            <w:tcW w:type="dxa" w:w="3336"/>
            <w:vAlign w:val="center"/>
            <w:shd w:fill="183B63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判定（符合／部分／不符合／不適用）</w:t>
            </w:r>
          </w:p>
        </w:tc>
        <w:tc>
          <w:tcPr>
            <w:tcW w:type="dxa" w:w="3336"/>
            <w:vAlign w:val="center"/>
            <w:shd w:fill="183B63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理由與資料來源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方式能否讓學員達成每一項學習目標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[待評估]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[待填]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學員時間、地點、設備與無障礙需求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[待評估]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[待填]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實作風險、監督及緊急應變安排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[待評估]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[待填]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師資與助教條件是否足以支援該方式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[待評估]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[待填]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教材、場地、器材及數位平台是否可用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[待評估]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[待填]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評量、出席、回饋與資料保存是否可行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[待評估]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[待填]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個資、肖像、著作權及資訊安全風險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[待評估]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[待填]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時間與成本是否符合核定資源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[待評估]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[待填]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160" w:after="60"/>
      </w:pPr>
      <w:r>
        <w:rPr>
          <w:rFonts w:ascii="Microsoft JhengHei" w:hAnsi="Microsoft JhengHei" w:eastAsia="Microsoft JhengHei"/>
          <w:b/>
          <w:color w:val="183B63"/>
          <w:sz w:val="28"/>
        </w:rPr>
        <w:t>四、選擇與變更紀錄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02"/>
        <w:gridCol w:w="2502"/>
        <w:gridCol w:w="2502"/>
        <w:gridCol w:w="2502"/>
      </w:tblGrid>
      <w:tr>
        <w:trPr>
          <w:tblHeader w:val="true"/>
          <w:cantSplit/>
        </w:trPr>
        <w:tc>
          <w:tcPr>
            <w:tcW w:type="dxa" w:w="2502"/>
            <w:vAlign w:val="center"/>
            <w:shd w:fill="183B63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課程／版本</w:t>
            </w:r>
          </w:p>
        </w:tc>
        <w:tc>
          <w:tcPr>
            <w:tcW w:type="dxa" w:w="2502"/>
            <w:vAlign w:val="center"/>
            <w:shd w:fill="183B63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選擇方式與理由</w:t>
            </w:r>
          </w:p>
        </w:tc>
        <w:tc>
          <w:tcPr>
            <w:tcW w:type="dxa" w:w="2502"/>
            <w:vAlign w:val="center"/>
            <w:shd w:fill="183B63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審查、核定及日期</w:t>
            </w:r>
          </w:p>
        </w:tc>
        <w:tc>
          <w:tcPr>
            <w:tcW w:type="dxa" w:w="2502"/>
            <w:vAlign w:val="center"/>
            <w:shd w:fill="183B63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檢討或變更</w:t>
            </w:r>
          </w:p>
        </w:tc>
      </w:tr>
      <w:tr>
        <w:trPr>
          <w:cantSplit/>
        </w:trPr>
        <w:tc>
          <w:tcPr>
            <w:tcW w:type="dxa" w:w="2502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[待填]</w:t>
            </w:r>
          </w:p>
        </w:tc>
        <w:tc>
          <w:tcPr>
            <w:tcW w:type="dxa" w:w="2502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[待填：依目標與檢核結果說明]</w:t>
            </w:r>
          </w:p>
        </w:tc>
        <w:tc>
          <w:tcPr>
            <w:tcW w:type="dxa" w:w="2502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[待核定]</w:t>
            </w:r>
          </w:p>
        </w:tc>
        <w:tc>
          <w:tcPr>
            <w:tcW w:type="dxa" w:w="2502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[實施後填寫]</w:t>
            </w:r>
          </w:p>
        </w:tc>
      </w:tr>
      <w:tr>
        <w:trPr>
          <w:cantSplit/>
        </w:trPr>
        <w:tc>
          <w:tcPr>
            <w:tcW w:type="dxa" w:w="2502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[待填]</w:t>
            </w:r>
          </w:p>
        </w:tc>
        <w:tc>
          <w:tcPr>
            <w:tcW w:type="dxa" w:w="2502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[待填]</w:t>
            </w:r>
          </w:p>
        </w:tc>
        <w:tc>
          <w:tcPr>
            <w:tcW w:type="dxa" w:w="2502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[待核定]</w:t>
            </w:r>
          </w:p>
        </w:tc>
        <w:tc>
          <w:tcPr>
            <w:tcW w:type="dxa" w:w="2502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[實施後填寫]</w:t>
            </w:r>
          </w:p>
        </w:tc>
      </w:tr>
    </w:tbl>
    <w:p>
      <w:pPr>
        <w:spacing w:after="20"/>
      </w:pPr>
    </w:p>
    <w:p>
      <w:pPr>
        <w:keepLines/>
        <w:spacing w:after="80" w:line="264" w:lineRule="auto"/>
      </w:pPr>
      <w:r>
        <w:rPr>
          <w:rFonts w:ascii="Microsoft JhengHei" w:hAnsi="Microsoft JhengHei" w:eastAsia="Microsoft JhengHei"/>
          <w:color w:val="24364B"/>
          <w:sz w:val="21"/>
        </w:rPr>
        <w:t>若執行中方式無法達成目標或出現安全、設備、出席及學習問題，先採取必要控制措施，再記錄影響、替代方式、通知及核准情形。</w:t>
      </w:r>
    </w:p>
    <w:p>
      <w:pPr>
        <w:pStyle w:val="Heading2"/>
        <w:keepNext/>
        <w:spacing w:before="100" w:after="60"/>
      </w:pPr>
      <w:r>
        <w:rPr>
          <w:rFonts w:ascii="Microsoft JhengHei" w:hAnsi="Microsoft JhengHei" w:eastAsia="Microsoft JhengHei"/>
          <w:b/>
          <w:color w:val="245A81"/>
          <w:sz w:val="23"/>
        </w:rPr>
        <w:t>依據與使用界線</w:t>
      </w:r>
    </w:p>
    <w:p>
      <w:pPr>
        <w:keepLines/>
        <w:spacing w:after="80" w:line="264" w:lineRule="auto"/>
      </w:pPr>
      <w:r>
        <w:rPr>
          <w:rFonts w:ascii="Microsoft JhengHei" w:hAnsi="Microsoft JhengHei" w:eastAsia="Microsoft JhengHei"/>
          <w:color w:val="24364B"/>
          <w:sz w:val="21"/>
        </w:rPr>
        <w:t>對應查核項目：訓練的提供方式及選擇的指標。</w:t>
      </w:r>
    </w:p>
    <w:p>
      <w:pPr>
        <w:keepLines/>
        <w:spacing w:after="80" w:line="264" w:lineRule="auto"/>
      </w:pPr>
      <w:r>
        <w:rPr>
          <w:rFonts w:ascii="Microsoft JhengHei" w:hAnsi="Microsoft JhengHei" w:eastAsia="Microsoft JhengHei"/>
          <w:color w:val="24364B"/>
          <w:sz w:val="21"/>
        </w:rPr>
        <w:t>來源：TTQS人才發展品質管理系統「查核佐證文件資料表－訓練機構版」，第2頁。本工作稿不是核定文件，也不是實際辦訓、學員、職務、調查、成效、第三方證明或財務成果。</w:t>
      </w:r>
    </w:p>
    <w:p>
      <w:r>
        <w:br w:type="page"/>
      </w:r>
    </w:p>
    <w:p>
      <w:pPr>
        <w:pStyle w:val="Heading1"/>
        <w:keepNext/>
      </w:pPr>
      <w:r>
        <w:rPr>
          <w:rFonts w:ascii="Microsoft JhengHei" w:hAnsi="Microsoft JhengHei" w:eastAsia="Microsoft JhengHei" w:cs="Microsoft JhengHei"/>
          <w:b/>
          <w:color w:val="1F4E78"/>
          <w:sz w:val="28"/>
        </w:rPr>
        <w:t>五、提供方式選擇規則、例外與版本管理</w:t>
      </w:r>
    </w:p>
    <w:p>
      <w:pPr>
        <w:spacing w:before="40" w:after="100"/>
      </w:pPr>
      <w:r>
        <w:rPr>
          <w:rFonts w:ascii="Microsoft JhengHei" w:hAnsi="Microsoft JhengHei" w:eastAsia="Microsoft JhengHei" w:cs="Microsoft JhengHei"/>
          <w:b w:val="0"/>
          <w:color w:val="404040"/>
          <w:sz w:val="18"/>
        </w:rPr>
        <w:t>按學習目標選擇方式。若方式不能達成目標、實作安全無法監督或必要資源不可用，不得以方便或成本作唯一理由；改案或暫停並留下判斷。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002"/>
        <w:gridCol w:w="2002"/>
        <w:gridCol w:w="2002"/>
        <w:gridCol w:w="2002"/>
        <w:gridCol w:w="2002"/>
      </w:tblGrid>
      <w:tr>
        <w:trPr>
          <w:tblHeader w:val="true"/>
        </w:trPr>
        <w:tc>
          <w:tcPr>
            <w:tcW w:type="dxa" w:w="2002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課程／目標</w:t>
            </w:r>
          </w:p>
        </w:tc>
        <w:tc>
          <w:tcPr>
            <w:tcW w:type="dxa" w:w="2002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候選方式與必要條件</w:t>
            </w:r>
          </w:p>
        </w:tc>
        <w:tc>
          <w:tcPr>
            <w:tcW w:type="dxa" w:w="2002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證據／風險檢查</w:t>
            </w:r>
          </w:p>
        </w:tc>
        <w:tc>
          <w:tcPr>
            <w:tcW w:type="dxa" w:w="2002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選擇及排除理由</w:t>
            </w:r>
          </w:p>
        </w:tc>
        <w:tc>
          <w:tcPr>
            <w:tcW w:type="dxa" w:w="2002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核准功能／版本</w:t>
            </w:r>
          </w:p>
        </w:tc>
      </w:tr>
      <w:tr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[待填]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[實體／同步／非同步／混成；逐目標判斷]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[師資、場地、器材、網路、無障礙、安全]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[待實際比較]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[待核定]</w:t>
            </w:r>
          </w:p>
        </w:tc>
      </w:tr>
      <w:tr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[待填]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[待填]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[待填]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[待填]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[待填]</w:t>
            </w:r>
          </w:p>
        </w:tc>
      </w:tr>
    </w:tbl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502"/>
        <w:gridCol w:w="2502"/>
        <w:gridCol w:w="2502"/>
        <w:gridCol w:w="2502"/>
      </w:tblGrid>
      <w:tr>
        <w:trPr>
          <w:tblHeader w:val="true"/>
        </w:trPr>
        <w:tc>
          <w:tcPr>
            <w:tcW w:type="dxa" w:w="2502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判斷節點</w:t>
            </w:r>
          </w:p>
        </w:tc>
        <w:tc>
          <w:tcPr>
            <w:tcW w:type="dxa" w:w="2502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符合時</w:t>
            </w:r>
          </w:p>
        </w:tc>
        <w:tc>
          <w:tcPr>
            <w:tcW w:type="dxa" w:w="2502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不符合時</w:t>
            </w:r>
          </w:p>
        </w:tc>
        <w:tc>
          <w:tcPr>
            <w:tcW w:type="dxa" w:w="2502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紀錄</w:t>
            </w:r>
          </w:p>
        </w:tc>
      </w:tr>
      <w:tr>
        <w:tc>
          <w:tcPr>
            <w:tcW w:type="dxa" w:w="25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每個目標均能以所選方式教學與評量？</w:t>
            </w:r>
          </w:p>
        </w:tc>
        <w:tc>
          <w:tcPr>
            <w:tcW w:type="dxa" w:w="25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進入資源檢核。</w:t>
            </w:r>
          </w:p>
        </w:tc>
        <w:tc>
          <w:tcPr>
            <w:tcW w:type="dxa" w:w="25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重選方式或修改方案，不直接核定。</w:t>
            </w:r>
          </w:p>
        </w:tc>
        <w:tc>
          <w:tcPr>
            <w:tcW w:type="dxa" w:w="25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目標—方式對照</w:t>
            </w:r>
          </w:p>
        </w:tc>
      </w:tr>
      <w:tr>
        <w:tc>
          <w:tcPr>
            <w:tcW w:type="dxa" w:w="25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需實作的風險、師資、設備與停止條件已確認？</w:t>
            </w:r>
          </w:p>
        </w:tc>
        <w:tc>
          <w:tcPr>
            <w:tcW w:type="dxa" w:w="25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進入審查核定。</w:t>
            </w:r>
          </w:p>
        </w:tc>
        <w:tc>
          <w:tcPr>
            <w:tcW w:type="dxa" w:w="25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暫停安排，補足控制後再審。</w:t>
            </w:r>
          </w:p>
        </w:tc>
        <w:tc>
          <w:tcPr>
            <w:tcW w:type="dxa" w:w="25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安全檢核與待辦</w:t>
            </w:r>
          </w:p>
        </w:tc>
      </w:tr>
      <w:tr>
        <w:tc>
          <w:tcPr>
            <w:tcW w:type="dxa" w:w="25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版本、學員條件及對外資訊一致？</w:t>
            </w:r>
          </w:p>
        </w:tc>
        <w:tc>
          <w:tcPr>
            <w:tcW w:type="dxa" w:w="25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核定後才發布。</w:t>
            </w:r>
          </w:p>
        </w:tc>
        <w:tc>
          <w:tcPr>
            <w:tcW w:type="dxa" w:w="25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退回修訂；不得發布不一致資訊。</w:t>
            </w:r>
          </w:p>
        </w:tc>
        <w:tc>
          <w:tcPr>
            <w:tcW w:type="dxa" w:w="25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核定版及發布紀錄</w:t>
            </w:r>
          </w:p>
        </w:tc>
      </w:tr>
    </w:tbl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502"/>
        <w:gridCol w:w="2502"/>
        <w:gridCol w:w="2502"/>
        <w:gridCol w:w="2502"/>
      </w:tblGrid>
      <w:tr>
        <w:trPr>
          <w:tblHeader w:val="true"/>
        </w:trPr>
        <w:tc>
          <w:tcPr>
            <w:tcW w:type="dxa" w:w="2502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例外／變更</w:t>
            </w:r>
          </w:p>
        </w:tc>
        <w:tc>
          <w:tcPr>
            <w:tcW w:type="dxa" w:w="2502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立即控制</w:t>
            </w:r>
          </w:p>
        </w:tc>
        <w:tc>
          <w:tcPr>
            <w:tcW w:type="dxa" w:w="2502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覆核／核准</w:t>
            </w:r>
          </w:p>
        </w:tc>
        <w:tc>
          <w:tcPr>
            <w:tcW w:type="dxa" w:w="2502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公告與保存</w:t>
            </w:r>
          </w:p>
        </w:tc>
      </w:tr>
      <w:tr>
        <w:tc>
          <w:tcPr>
            <w:tcW w:type="dxa" w:w="25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師資、場地、設備或學員條件改變</w:t>
            </w:r>
          </w:p>
        </w:tc>
        <w:tc>
          <w:tcPr>
            <w:tcW w:type="dxa" w:w="25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評估對目標、安全、出席及評量的影響；必要時停課或調整。</w:t>
            </w:r>
          </w:p>
        </w:tc>
        <w:tc>
          <w:tcPr>
            <w:tcW w:type="dxa" w:w="25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[依授權規則待核定]</w:t>
            </w:r>
          </w:p>
        </w:tc>
        <w:tc>
          <w:tcPr>
            <w:tcW w:type="dxa" w:w="25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保存變更原因、通知、同意及版次。</w:t>
            </w:r>
          </w:p>
        </w:tc>
      </w:tr>
      <w:tr>
        <w:tc>
          <w:tcPr>
            <w:tcW w:type="dxa" w:w="25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方式未能支援目標或評量</w:t>
            </w:r>
          </w:p>
        </w:tc>
        <w:tc>
          <w:tcPr>
            <w:tcW w:type="dxa" w:w="25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不得以出席或滿意度替代學習證據。</w:t>
            </w:r>
          </w:p>
        </w:tc>
        <w:tc>
          <w:tcPr>
            <w:tcW w:type="dxa" w:w="25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[待核定]</w:t>
            </w:r>
          </w:p>
        </w:tc>
        <w:tc>
          <w:tcPr>
            <w:tcW w:type="dxa" w:w="25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重審目標—工具—證據連結。</w:t>
            </w:r>
          </w:p>
        </w:tc>
      </w:tr>
    </w:tbl>
    <w:p>
      <w:pPr>
        <w:spacing w:before="40" w:after="100"/>
      </w:pPr>
      <w:r>
        <w:rPr>
          <w:rFonts w:ascii="Microsoft JhengHei" w:hAnsi="Microsoft JhengHei" w:eastAsia="Microsoft JhengHei" w:cs="Microsoft JhengHei"/>
          <w:b w:val="0"/>
          <w:color w:val="404040"/>
          <w:sz w:val="18"/>
        </w:rPr>
        <w:t>政策檢討完成率＝已完成且有紀錄的應檢項數 ÷ 應檢項數。週期、核准功能及對外管道須由協會核定。追溯：官方要求「訓練的提供方式及選擇的指標」→ 方式比較及檢核 → 逐課程決定紀錄 → 核定版本／證據位置／覆核：[待填]。</w:t>
      </w:r>
    </w:p>
    <w:p>
      <w:pPr>
        <w:pStyle w:val="Heading2"/>
      </w:pPr>
      <w:r>
        <w:t>對外資訊與變更通知</w:t>
      </w:r>
    </w:p>
    <w:p>
      <w:r>
        <w:t>對外只說明已核定的提供方式、適用對象、必要設備與實作條件、時數、評量及費用；未核定或未知內容不得承諾。方式變更時，先評估學習與安全影響，再依授權核定、更新資訊並通知受影響者。</w:t>
      </w:r>
    </w:p>
    <w:p>
      <w:pPr>
        <w:pStyle w:val="Heading2"/>
      </w:pPr>
      <w:r>
        <w:t>真實資料升格前核對清單</w:t>
      </w:r>
    </w:p>
    <w:p>
      <w:pPr>
        <w:spacing w:after="80"/>
      </w:pPr>
      <w:r>
        <w:t>逐項以原始資料及核定紀錄核對；未取得資料時勾選「待補」並保留工作稿狀態。本清單不表示事項已發生。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336"/>
        <w:gridCol w:w="3336"/>
        <w:gridCol w:w="3336"/>
      </w:tblGrid>
      <w:tr>
        <w:trPr>
          <w:tblHeader w:val="true"/>
          <w:cantSplit/>
        </w:trPr>
        <w:tc>
          <w:tcPr>
            <w:tcW w:type="dxa" w:w="3336"/>
            <w:shd w:fill="1F4E78"/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核對項目</w:t>
            </w:r>
          </w:p>
        </w:tc>
        <w:tc>
          <w:tcPr>
            <w:tcW w:type="dxa" w:w="3336"/>
            <w:shd w:fill="1F4E78"/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應回查資料／通過條件</w:t>
            </w:r>
          </w:p>
        </w:tc>
        <w:tc>
          <w:tcPr>
            <w:tcW w:type="dxa" w:w="3336"/>
            <w:shd w:fill="1F4E78"/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狀態／責任／證據位置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課程目標與方式配適</w:t>
            </w:r>
          </w:p>
        </w:tc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每門課逐項把目標、對象、活動、評量與選擇理由相連；不得只按便利或成本選方式。</w:t>
            </w:r>
          </w:p>
        </w:tc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□符合 □待補 □不適用；課程／版本：[待填]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實作安全與必要資源</w:t>
            </w:r>
          </w:p>
        </w:tc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需操作練習者已核實師資、場地、設備、衛生、監督及停止條件；不足即暫停或改案。</w:t>
            </w:r>
          </w:p>
        </w:tc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□符合 □待補 □不適用；安全檢核：[待填]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角色與核定</w:t>
            </w:r>
          </w:p>
        </w:tc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規劃、專業／安全覆核、行政通知、授權核定及文件保存功能已確認；實際人員依核定填入。</w:t>
            </w:r>
          </w:p>
        </w:tc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□符合 □待補 □不適用；授權／核定：[待填]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對外資訊與承諾</w:t>
            </w:r>
          </w:p>
        </w:tc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公告的方式、對象、條件、時數、費用及評量均與核定資料一致；未知欄位不對外承諾。</w:t>
            </w:r>
          </w:p>
        </w:tc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□符合 □待補 □不適用；核定版／公告位置：[待填]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變更、例外及留存</w:t>
            </w:r>
          </w:p>
        </w:tc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方式不符目標或出現風險時有停用、替代、通知及核准紀錄；舊版可識別且不再誤用。</w:t>
            </w:r>
          </w:p>
        </w:tc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□符合 □待補 □不適用；變更／保存位置：[待填]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9" w:h="16834"/>
      <w:pgMar w:top="893" w:right="950" w:bottom="893" w:left="950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b w:val="0"/>
        <w:color w:val="62748A"/>
        <w:sz w:val="16"/>
      </w:rPr>
      <w:t xml:space="preserve">未核定前不作為實際執行紀錄｜第 </w:t>
    </w:r>
    <w:r>
      <w:rPr>
        <w:rFonts w:ascii="Microsoft JhengHei" w:hAnsi="Microsoft JhengHei" w:eastAsia="Microsoft JhengHei"/>
        <w:b w:val="0"/>
        <w:color w:val="62748A"/>
        <w:sz w:val="16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Microsoft JhengHei" w:hAnsi="Microsoft JhengHei" w:eastAsia="Microsoft JhengHei"/>
        <w:b w:val="0"/>
        <w:color w:val="62748A"/>
        <w:sz w:val="16"/>
      </w:rPr>
      <w:t xml:space="preserve"> 頁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/>
        <w:b w:val="0"/>
        <w:color w:val="62748A"/>
        <w:sz w:val="16"/>
      </w:rPr>
      <w:t>社團法人屏東縣原始點關懷協會｜工作稿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64" w:lineRule="auto"/>
    </w:pPr>
    <w:rPr>
      <w:rFonts w:ascii="Microsoft JhengHei" w:hAnsi="Microsoft JhengHei"/>
      <w:color w:val="24364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83B63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245A81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183B63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訓練提供方式及選擇指標</dc:title>
  <dc:subject>訓練的提供方式及選擇的指標。</dc:subject>
  <dc:creator>社團法人屏東縣原始點關懷協會</dc:creator>
  <cp:keywords>TTQS; 工作稿; 待核定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