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訓練課程體系與訓練機構業務策略方向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策略－需求－課程－評估連結圖與檢核表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訓練課程體系及訓練機構業務策略方向的相關資料。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把已確認的使命方向連到需求證據、課程類別、學習目標、執行與成果檢討。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先看連結圖、課程類別表及策略檢核欄。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經核定的中長程策略、訓練體系、課程清單、需求分析及實際績效資料。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一、連結架構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協會目前確認的訓練核心是健康教育與傳統整復推拿技術，並保留依實際市場需求發展多元課程的空間。下列架構是整理方法；策略期間、優先順序、課程及目標仍須依協會資料核定。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已確認方向 → 實際需求與能力差距 → 課程類別與方案 → 學習目標及資源 → 實施與評量 → 結果檢討 → 修訂下一期方向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二、策略與課程體系對照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要回答的問題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證據或核定內容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本期要支持的健康教育與技術傳承方向為何？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[待核定：策略文件、決議或年度計畫]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市場與需求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哪些對象提出何種需求？資料是否足以代表目標對象？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[待補：問卷、訪談、服務或市場資料]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哪些屬核心課程方向，哪些需另外評估？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核心：健康教育、傳統整復推拿技術；其他方向待需求及資源檢核。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學員完成後應能做什麼，如何判斷？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[待填：能力目標、評量方式與標準]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資源與方式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師資、時間、場地、教材、安全及預算是否可行？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[待補：資格、資源、風險與核定資料]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成果與改善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如何確認學習、應用或協會目標是否有進展？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[待核定：指標、基準、目標、來源及檢討週期]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三、核心方向與多元課程入口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課程組合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進入正式課程體系的條件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方向已確認；實際課程名稱與安排待核定。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有需求證據、合宜學習目標、資料來源及非醫療內容審查。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方向已確認；實際課程須逐項確認適用規範與資格。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完成職能對照、師資與實作安全確認、評量及相關核定。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其他多元課程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保留依市場需求評估的空間；目前不列為已核定清單。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有明確需求、策略關聯、可行資源及風險檢核，經核定後再納入。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四、策略連結檢核表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檢核題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判定／證據位置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課程是否回應協會已確認方向或核定策略？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[待填：策略來源、頁次或決議]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需求及目標對象是否有可查證依據？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[待填：來源日期與限制]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課程目標是否可觀察、可評量？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[待填：目標與評量工具]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師資、場地、教材、安全及預算是否可行？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[待填：原始資料及核定]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是否設計成果分析並將結果回到計畫？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[待填：指標、資料來源與檢討決議]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對應查核項目：訓練課程體系及訓練機構業務策略方向的相關資料。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五、策略—需求—能力—課程—成果對照與檢核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本文件整理課程體系與協會業務方向；不取代 0021 的學員職務相稱證明、0022 的定期需求分析或 0027 的年度資源計畫。共用資料以來源ID交叉引用，不複製結論。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策略／需求來源ID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實際任務與能力差距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課程類別／方案狀態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目標與評量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成果指標／資源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決定／證據／修訂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[待填；核定策略來源]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[待填；調查或職務來源]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健康教育：核心方向；具體課程待評估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[資源與指標待查]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[決議及位置待填]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傳統整復推拿技術：核心方向；具體課程須先核對適用規範及安全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[師資、實作、安全及資源待查]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[決議及位置待填]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[需有可核實市場需求]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其他多元方向：提案，不預設已納入課程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[逐案設定]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[可行性、資源及風險待評]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[核准後再入正式清單]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流程層次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進入條件／決策問題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輸出與證據定位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協會策略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策略文件或決議是否核定且在適用期間？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[來源版本／頁次]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市場與職能需求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樣本、期間、限制及任務來源能否支持此需求？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 I04-E01／I07-E01／I09-E03 原始證據ID]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是否屬核心方向；若為其他方向，是否符合市場需求及資源條件？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[課程狀態及審查紀錄]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執行與成果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目標、方法、師資、資源及安全控制能否核定？如何檢視？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[評量、實績、限制、改善與下一期修訂]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追溯完整率＝策略來源、需求、能力差距、課程、目標／評量、資源及檢討均有可回查連結的課程方向數 ÷ 納入檢查的課程方向數。分母為 0 時不適用；完整率只表示追溯，不表示課程成效。核心方向與實際開班、核定、師資或成果須分開標示。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策略來源與版本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所引用的策略、年度計畫及核定狀態可回查；草案、方向及已核定內容清楚分開。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需求到課程追溯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每個需求有來源、期間與限制，且能連到能力目標、課程單元、方法及評量。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□不適用；需求ID／設計表：[待填]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核定與資源條件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課程組合、師資、教材、場地、安全及預算依真實資料審查；未核定項維持待補。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□不適用；審查／核定紀錄：[待填]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成果與證據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執行成果、分母、限制及證據位置只依原始紀錄填入；空白模板不作成果證明。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□不適用；原件／索引：[待填]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差距改善與再驗證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差距有原因、採納／未採納理由、責任、期限及下一次可比較的驗證方式。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訓練課程體系與訓練機構業務策略方向</dc:title>
  <dc:subject>訓練課程體系及訓練機構業務策略方向的相關資料。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