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會議實際發生與出席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日期、方式、出席角色、利益關係及授權可由原始簽到或記錄回查；未召開前保持空白。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□不適用；簽到／紀錄：[待填]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前置資料及課程版次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議程、需求、課程方案、時程及評量工具均記錄名稱與版本。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□不適用；會前資料索引：[待填]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討論、異議與決議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保留各角色意見、異議、採納／未採納理由、核定權限及未決事項。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責任、期限及追蹤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每項決議指定責任功能、期限、完成條件及下次驗證；不得預填出席或決議。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簽認、附件及保存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核准、簽認、附件索引、保存位置與版本核對完整且能回查。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□不適用；簽核／索引：[待填]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