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Microsoft JhengHei" w:hAnsi="Microsoft JhengHei" w:eastAsia="Microsoft JhengHei"/>
          <w:b/>
          <w:color w:val="183B63"/>
          <w:sz w:val="38"/>
        </w:rPr>
        <w:t>職能分析方法檢討與改善紀錄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245A81"/>
          <w:sz w:val="19"/>
        </w:rPr>
        <w:t>檢討觸發、方法適切性、變更審查與追蹤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FF2CC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工作稿｜待填入實際資料或完成核定。本文不表示已核定課程、已聘任人員、已召開會議、已執行調查、已辦理訓練或已取得成效。</w:t>
            </w:r>
          </w:p>
        </w:tc>
      </w:tr>
    </w:tbl>
    <w:p>
      <w:pPr>
        <w:spacing w:after="10" w:line="168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568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閱讀欄位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本文件用途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對相關職能分析及運用的方法均能適時檢討隨時改進。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使用方式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在需求、課程、工作任務或評量資料變動時，檢查職能分析工具是否仍適切；記錄問題、調整理由、核定及後續效果。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評核先看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檢討項目、決策流程、方法版次比較及改善追蹤欄。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已確認資料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社團法人屏東縣原始點關懷協會；已確認方向：以健康教育及傳統整復推拿技術為核心，並保留依實際市場需求發展多元課程的空間。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尚待補入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既有職能分析方法、歷次使用原始資料、檢討會議、已核定變更與後續使用紀錄。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一、檢討目的與啟動條件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20"/>
        </w:rPr>
        <w:t>本紀錄用於確認職能分析方法與運用方式是否能支持課程設計，並保留修訂理由與效果追蹤。協會的檢討週期尚待核定；在方法正式採用前，不能宣稱已定期檢討或已完成改善。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4032"/>
        <w:gridCol w:w="3960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觸發情況</w:t>
            </w:r>
          </w:p>
        </w:tc>
        <w:tc>
          <w:tcPr>
            <w:tcW w:type="dxa" w:w="40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檢視重點</w:t>
            </w:r>
          </w:p>
        </w:tc>
        <w:tc>
          <w:tcPr>
            <w:tcW w:type="dxa" w:w="39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可供查核的輸入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需求或服務對象有變化</w:t>
            </w:r>
          </w:p>
        </w:tc>
        <w:tc>
          <w:tcPr>
            <w:tcW w:type="dxa" w:w="40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現有題目及職能項目是否仍涵蓋實際任務。</w:t>
            </w:r>
          </w:p>
        </w:tc>
        <w:tc>
          <w:tcPr>
            <w:tcW w:type="dxa" w:w="39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已取得的需求資料、訪談摘要或正式任務說明。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課程或評量方式修訂</w:t>
            </w:r>
          </w:p>
        </w:tc>
        <w:tc>
          <w:tcPr>
            <w:tcW w:type="dxa" w:w="40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目標、工具及證據是否仍能對應職能標準。</w:t>
            </w:r>
          </w:p>
        </w:tc>
        <w:tc>
          <w:tcPr>
            <w:tcW w:type="dxa" w:w="39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課程版次、評量工具及使用紀錄。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資料品質出現疑義</w:t>
            </w:r>
          </w:p>
        </w:tc>
        <w:tc>
          <w:tcPr>
            <w:tcW w:type="dxa" w:w="40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缺答、偏誤、判定分歧或工具可理解性。</w:t>
            </w:r>
          </w:p>
        </w:tc>
        <w:tc>
          <w:tcPr>
            <w:tcW w:type="dxa" w:w="39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原始資料、異常紀錄及複核意見。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安全、界線或流程問題</w:t>
            </w:r>
          </w:p>
        </w:tc>
        <w:tc>
          <w:tcPr>
            <w:tcW w:type="dxa" w:w="40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是否需暫停使用、補充告知或調整流程。</w:t>
            </w:r>
          </w:p>
        </w:tc>
        <w:tc>
          <w:tcPr>
            <w:tcW w:type="dxa" w:w="39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異常處理紀錄、風險分析及相關規範查核。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依核定週期回顧</w:t>
            </w:r>
          </w:p>
        </w:tc>
        <w:tc>
          <w:tcPr>
            <w:tcW w:type="dxa" w:w="40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檢視方法是否有足夠資料及持續適用性。</w:t>
            </w:r>
          </w:p>
        </w:tc>
        <w:tc>
          <w:tcPr>
            <w:tcW w:type="dxa" w:w="39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[待核定：週期及權責功能]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二、方法適切性檢討表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5328"/>
        <w:gridCol w:w="3096"/>
      </w:tblGrid>
      <w:tr>
        <w:trPr>
          <w:tblHeader w:val="true"/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檢討面向</w:t>
            </w:r>
          </w:p>
        </w:tc>
        <w:tc>
          <w:tcPr>
            <w:tcW w:type="dxa" w:w="53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判斷問題</w:t>
            </w:r>
          </w:p>
        </w:tc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判讀及證據位置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工作關聯</w:t>
            </w:r>
          </w:p>
        </w:tc>
        <w:tc>
          <w:tcPr>
            <w:tcW w:type="dxa" w:w="53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分析項目是否對應真實任務與課程需求？</w:t>
            </w:r>
          </w:p>
        </w:tc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可觀察性</w:t>
            </w:r>
          </w:p>
        </w:tc>
        <w:tc>
          <w:tcPr>
            <w:tcW w:type="dxa" w:w="53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職能定義及判準是否能被不同評估者理解？</w:t>
            </w:r>
          </w:p>
        </w:tc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證據充分性</w:t>
            </w:r>
          </w:p>
        </w:tc>
        <w:tc>
          <w:tcPr>
            <w:tcW w:type="dxa" w:w="53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資料來源、樣本範圍及缺漏是否足以支持結論？</w:t>
            </w:r>
          </w:p>
        </w:tc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一致性</w:t>
            </w:r>
          </w:p>
        </w:tc>
        <w:tc>
          <w:tcPr>
            <w:tcW w:type="dxa" w:w="53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相似情境的判讀差異是否有明確處理規則？</w:t>
            </w:r>
          </w:p>
        </w:tc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可用性</w:t>
            </w:r>
          </w:p>
        </w:tc>
        <w:tc>
          <w:tcPr>
            <w:tcW w:type="dxa" w:w="53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蒐集與分析方式是否可執行且不造成不必要負擔？</w:t>
            </w:r>
          </w:p>
        </w:tc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公平與保護</w:t>
            </w:r>
          </w:p>
        </w:tc>
        <w:tc>
          <w:tcPr>
            <w:tcW w:type="dxa" w:w="53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題目、評量及資料處理是否避免不必要偏誤或敏感資料？</w:t>
            </w:r>
          </w:p>
        </w:tc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實際運用</w:t>
            </w:r>
          </w:p>
        </w:tc>
        <w:tc>
          <w:tcPr>
            <w:tcW w:type="dxa" w:w="53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分析結果是否能追溯到課程目標、評量及非訓練措施？</w:t>
            </w:r>
          </w:p>
        </w:tc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三、檢討決策及變更紀錄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6912"/>
      </w:tblGrid>
      <w:tr>
        <w:trPr>
          <w:tblHeader w:val="true"/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填寫內容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檢討案由／範圍／資料期間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方法名稱及目前版次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[待補；附文件位置]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主要發現及證據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[只寫已查核的事實，附來源位置]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處置選項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□維持　□修正　□暫停　□替代；理由：[待填]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變更內容及影響文件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[待補；逐項列版本、表單、課程或評量工具]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審查／核定功能與日期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[待核定；不預填姓名、日期或決議]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追蹤條件及複核證據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[待補；何時、用何資料確認變更適切]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四、方法版本履歷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024"/>
        <w:gridCol w:w="2520"/>
        <w:gridCol w:w="2664"/>
      </w:tblGrid>
      <w:tr>
        <w:trPr>
          <w:tblHeader w:val="true"/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版本／日期</w:t>
            </w:r>
          </w:p>
        </w:tc>
        <w:tc>
          <w:tcPr>
            <w:tcW w:type="dxa" w:w="30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變更原因與來源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變更項目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核定與追蹤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30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30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30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</w:tr>
    </w:tbl>
    <w:p>
      <w:pPr>
        <w:spacing w:after="20" w:before="0" w:line="192" w:lineRule="auto"/>
      </w:pPr>
    </w:p>
    <w:p>
      <w:pPr>
        <w:pStyle w:val="Heading2"/>
        <w:keepNext/>
        <w:keepLines/>
        <w:spacing w:before="80" w:after="50"/>
      </w:pPr>
      <w:r>
        <w:rPr>
          <w:rFonts w:ascii="Microsoft JhengHei" w:hAnsi="Microsoft JhengHei" w:eastAsia="Microsoft JhengHei"/>
          <w:b/>
          <w:color w:val="245A81"/>
          <w:sz w:val="22"/>
        </w:rPr>
        <w:t>依據與使用界線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8"/>
        </w:rPr>
        <w:t>對應查核項目：對相關職能分析及運用的方法均能適時檢討隨時改進。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來源：TTQS 人才發展品質管理系統「查核佐證文件資料表－訓練機構版」，第 2 頁。官方文字作為文件範圍依據；本稿中的流程、欄位及方法均為可供協會審議修訂的工作設計，不證明本會已採行。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健康教育及傳統整復推拿相關內容限於訓練與非醫療健康教育範圍；不得以本稿宣稱診斷、治療、療效或實際訓練成果。</w:t>
      </w:r>
    </w:p>
    <w:p>
      <w:r>
        <w:br w:type="page"/>
      </w:r>
    </w:p>
    <w:p>
      <w:pPr>
        <w:pStyle w:val="Heading1"/>
        <w:keepNext/>
      </w:pPr>
      <w:r>
        <w:rPr>
          <w:rFonts w:ascii="Microsoft JhengHei" w:hAnsi="Microsoft JhengHei" w:eastAsia="Microsoft JhengHei" w:cs="Microsoft JhengHei"/>
          <w:b/>
          <w:color w:val="1F4E78"/>
          <w:sz w:val="28"/>
        </w:rPr>
        <w:t>五、方法變更控制與改善效果再驗證</w:t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方法檢討不能只留下「已修訂」。每次須指出觸發資料、現方法限制、選擇維持／修正／暫停的理由，以及後續如何確認新方法可用。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true"/>
        </w:trPr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檢討觸發／原始資料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方法版本與問題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決定及未採納理由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責任／期限／核准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再驗證指標／證據</w:t>
            </w:r>
          </w:p>
        </w:tc>
      </w:tr>
      <w:tr>
        <w:trPr>
          <w:trHeight w:val="893" w:hRule="atLeast"/>
        </w:trP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需求或工作任務改變：[來源待填]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[工具版次、偏差、受影響對象]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□維持 □修正 □暫停 □替代；理由：[待填]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[後續資料待產生]</w:t>
            </w:r>
          </w:p>
        </w:tc>
      </w:tr>
      <w:tr>
        <w:trPr>
          <w:trHeight w:val="893" w:hRule="atLeast"/>
        </w:trP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評估者判讀分歧：[來源待填]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[差異及範圍]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[待審議]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[待追蹤]</w:t>
            </w:r>
          </w:p>
        </w:tc>
      </w:tr>
      <w:tr>
        <w:trPr>
          <w:trHeight w:val="893" w:hRule="atLeast"/>
        </w:trP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資料缺漏或安全問題：[來源待填]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[限制與風險]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[必要停用條件]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[待追蹤]</w:t>
            </w:r>
          </w:p>
        </w:tc>
      </w:tr>
    </w:tbl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方法檢討完成率＝已完成且有證據的到期檢討數 ÷ 到期應檢討數。修訂效果須按修訂前後可比資料判讀；改善率公式只在基準大於 0 且口徑一致時使用，否則報告絕對變化或不適用。版本履歷需連到核定、受影響表單、通知及實際使用回看。</w:t>
      </w:r>
    </w:p>
    <w:p>
      <w:pPr>
        <w:keepNext/>
        <w:jc w:val="center"/>
      </w:pPr>
      <w:r>
        <w:rPr>
          <w:rFonts w:ascii="Microsoft JhengHei" w:hAnsi="Microsoft JhengHei"/>
          <w:b/>
          <w:sz w:val="20"/>
        </w:rPr>
        <w:t>圖表架構｜職能分析方法檢討雷達圖（空白架構）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623560" cy="29679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35_職能分析方法檢討雷達圖_空白架構_R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967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pageBreakBefore/>
      </w:pPr>
      <w:r>
        <w:t>真實資料升格前核對清單</w:t>
      </w:r>
    </w:p>
    <w:p>
      <w:pPr>
        <w:keepNext/>
        <w:spacing w:after="80"/>
      </w:pPr>
      <w:r>
        <w:t>逐項以原始資料及核定紀錄核對；未取得資料時勾選「待補」並保留工作稿狀態。本清單不表示事項已發生。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核對項目</w:t>
            </w:r>
          </w:p>
        </w:tc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應回查資料／通過條件</w:t>
            </w:r>
          </w:p>
        </w:tc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狀態／責任／證據位置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角色與工作情境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明確記錄分析方法服務的工作任務、課程情境、使用者及適用對象，不以泛稱代替。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□不適用；任務／課程版本：[待填]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觸發資料與現行方法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檢討觸發、原始來源、方法名稱／版次、樣本及限制可回查。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□不適用；來源／版次：[待填]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適切性及風險判讀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檢查工作關聯、可觀察性、資料充分性、判讀一致性與安全界線；保留異議。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□不適用；檢討紀錄：[待填]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維持、修正或停用決定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決定與未採納理由、核定權限、責任功能及期限有記錄；必要時停止不可靠方法。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□不適用；決議／核定：[待填]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變更後再驗證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以可比原始資料檢查新方法可用性，追蹤版本、受影響表單及通知。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□不適用；再驗證／版本履歷：[待填]</w:t>
            </w:r>
          </w:p>
        </w:tc>
      </w:tr>
    </w:tbl>
    <w:p>
      <w:pPr>
        <w:pStyle w:val="Heading2"/>
        <w:keepNext/>
      </w:pPr>
      <w:r>
        <w:t>覆核與待辦追蹤（實際完成後填寫）</w:t>
      </w:r>
    </w:p>
    <w:p>
      <w:pPr>
        <w:keepNext/>
        <w:spacing w:after="80"/>
      </w:pPr>
      <w:r>
        <w:t>本欄只記錄實際核對、審議或執行後可回查的事項；尚未完成時保留待填，不代表已核定或已發生。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</w:trPr>
        <w:tc>
          <w:tcPr>
            <w:tcW w:type="dxa" w:w="3336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覆核欄位</w:t>
            </w:r>
          </w:p>
        </w:tc>
        <w:tc>
          <w:tcPr>
            <w:tcW w:type="dxa" w:w="3336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填寫／判讀規則</w:t>
            </w:r>
          </w:p>
        </w:tc>
        <w:tc>
          <w:tcPr>
            <w:tcW w:type="dxa" w:w="3336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紀錄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方法版本、觸發原因及適用範圍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記錄檢討方法版次、適用情境及觸發來源；不以未確認歷史代替。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[待填／待核定；附證據路徑]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原始證據、限制及異議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核對原始證據、樣本、工具限制、異議與資料缺口。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[待填／待核定；附證據路徑]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維持、修正或停用決定理由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依證據記錄維持、修正或停用及理由；未核定不得當作生效。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[待填／待核定；附證據路徑]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責任功能、期限與再驗證證據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列出責任功能、完成期限、版本更新及再驗證依據。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[待填／待核定；附證據路徑]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待實際資料或核定後更新｜第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Microsoft JhengHei" w:hAnsi="Microsoft JhengHei" w:eastAsia="Microsoft JhengHei"/>
      <w:color w:val="24364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職能分析方法檢討與改善紀錄</dc:title>
  <dc:subject>對相關職能分析及運用的方法均能適時檢討隨時改進。</dc:subject>
  <dc:creator>社團法人屏東縣原始點關懷協會</dc:creator>
  <cp:keywords>TTQS; 工作稿; 待核定; 待原始資料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