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"/>
      </w:pPr>
      <w:r>
        <w:rPr>
          <w:rFonts w:ascii="Microsoft JhengHei" w:hAnsi="Microsoft JhengHei" w:eastAsia="Microsoft JhengHei"/>
          <w:b/>
          <w:color w:val="183B63"/>
          <w:sz w:val="38"/>
        </w:rPr>
        <w:t>訓練需求與職能需求調查計畫</w:t>
      </w:r>
    </w:p>
    <w:p>
      <w:pPr>
        <w:spacing w:after="80"/>
      </w:pPr>
      <w:r>
        <w:rPr>
          <w:rFonts w:ascii="Microsoft JhengHei" w:hAnsi="Microsoft JhengHei" w:eastAsia="Microsoft JhengHei"/>
          <w:b w:val="0"/>
          <w:color w:val="245A81"/>
          <w:sz w:val="19"/>
        </w:rPr>
        <w:t>調查方案、可直接填用問卷及分析紀錄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009"/>
      </w:tblGrid>
      <w:tr>
        <w:trPr>
          <w:cantSplit/>
        </w:trPr>
        <w:tc>
          <w:tcPr>
            <w:tcW w:type="dxa" w:w="10009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  <w:shd w:fill="FFF2CC"/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183B63"/>
                <w:sz w:val="17"/>
              </w:rPr>
              <w:t>工作稿｜待填入實際資料或完成核定。本文不表示已核定課程、已聘任人員、已召開會議、已執行調查、已辦理訓練或已取得成效。</w:t>
            </w:r>
          </w:p>
        </w:tc>
      </w:tr>
    </w:tbl>
    <w:p>
      <w:pPr>
        <w:spacing w:after="10" w:line="168" w:lineRule="auto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84"/>
        <w:gridCol w:w="8568"/>
      </w:tblGrid>
      <w:tr>
        <w:trPr>
          <w:tblHeader w:val="true"/>
          <w:cantSplit/>
        </w:trPr>
        <w:tc>
          <w:tcPr>
            <w:tcW w:type="dxa" w:w="158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  <w:shd w:fill="183B63"/>
          </w:tcPr>
          <w:p>
            <w:pPr>
              <w:keepNext/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閱讀欄位</w:t>
            </w:r>
          </w:p>
        </w:tc>
        <w:tc>
          <w:tcPr>
            <w:tcW w:type="dxa" w:w="8568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  <w:shd w:fill="183B63"/>
          </w:tcPr>
          <w:p>
            <w:pPr>
              <w:keepNext/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內容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本文件用途</w:t>
            </w:r>
          </w:p>
        </w:tc>
        <w:tc>
          <w:tcPr>
            <w:tcW w:type="dxa" w:w="8568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訓練課程計畫配合客戶及受訓者需求、職能需求的調查規劃的證明。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使用方式</w:t>
            </w:r>
          </w:p>
        </w:tc>
        <w:tc>
          <w:tcPr>
            <w:tcW w:type="dxa" w:w="8568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先核定調查對象、期間、工具及個資告知，再收集客戶與潛在受訓者需求；分析後區分訓練與非訓練問題。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評核先看</w:t>
            </w:r>
          </w:p>
        </w:tc>
        <w:tc>
          <w:tcPr>
            <w:tcW w:type="dxa" w:w="8568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調查計畫欄、問卷題目、資料分析表及課程決策欄。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已確認資料</w:t>
            </w:r>
          </w:p>
        </w:tc>
        <w:tc>
          <w:tcPr>
            <w:tcW w:type="dxa" w:w="8568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社團法人屏東縣原始點關懷協會；已確認方向：以健康教育及傳統整復推拿技術為核心，並保留依實際市場需求發展多元課程的空間。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尚待補入</w:t>
            </w:r>
          </w:p>
        </w:tc>
        <w:tc>
          <w:tcPr>
            <w:tcW w:type="dxa" w:w="8568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實際市場訪談／問卷、受訪者名冊或抽樣來源、日期、回收與分析原始資料、核定紀錄。</w:t>
            </w:r>
          </w:p>
        </w:tc>
      </w:tr>
    </w:tbl>
    <w:p>
      <w:pPr>
        <w:spacing w:after="20" w:before="0" w:line="192" w:lineRule="auto"/>
      </w:pPr>
    </w:p>
    <w:p>
      <w:pPr>
        <w:pStyle w:val="Heading1"/>
        <w:keepNext/>
        <w:keepLines/>
        <w:spacing w:before="140" w:after="50"/>
      </w:pPr>
      <w:r>
        <w:rPr>
          <w:rFonts w:ascii="Microsoft JhengHei" w:hAnsi="Microsoft JhengHei" w:eastAsia="Microsoft JhengHei"/>
          <w:b/>
          <w:color w:val="183B63"/>
          <w:sz w:val="26"/>
        </w:rPr>
        <w:t>一、調查目的與界線</w:t>
      </w:r>
    </w:p>
    <w:p>
      <w:pPr>
        <w:keepLines/>
        <w:spacing w:after="60" w:before="0" w:line="259" w:lineRule="auto"/>
      </w:pPr>
      <w:r>
        <w:rPr>
          <w:rFonts w:ascii="Microsoft JhengHei" w:hAnsi="Microsoft JhengHei" w:eastAsia="Microsoft JhengHei"/>
          <w:b w:val="0"/>
          <w:i w:val="0"/>
          <w:color w:val="24364B"/>
          <w:sz w:val="20"/>
        </w:rPr>
        <w:t>本計畫用來蒐集客戶、潛在受訓者或其他經核定對象的工作任務、學習需求、能力差距及參與條件，作為課程設計參考。調查尚未實施；本稿不代表已有市場結果、受訓者名單或課程決策。</w:t>
      </w:r>
    </w:p>
    <w:p>
      <w:pPr>
        <w:keepLines/>
        <w:spacing w:after="60" w:before="0" w:line="259" w:lineRule="auto"/>
      </w:pPr>
      <w:r>
        <w:rPr>
          <w:rFonts w:ascii="Microsoft JhengHei" w:hAnsi="Microsoft JhengHei" w:eastAsia="Microsoft JhengHei"/>
          <w:b w:val="0"/>
          <w:i w:val="0"/>
          <w:color w:val="24364B"/>
          <w:sz w:val="20"/>
        </w:rPr>
        <w:t>調查健康教育或傳統整復推拿相關需求時，問題限於一般知識、技能學習、安全操作及非醫療界線；不蒐集診斷、病史或非必要敏感資料。</w:t>
      </w:r>
    </w:p>
    <w:p>
      <w:pPr>
        <w:pStyle w:val="Heading1"/>
        <w:keepNext/>
        <w:keepLines/>
        <w:spacing w:before="140" w:after="50"/>
      </w:pPr>
      <w:r>
        <w:rPr>
          <w:rFonts w:ascii="Microsoft JhengHei" w:hAnsi="Microsoft JhengHei" w:eastAsia="Microsoft JhengHei"/>
          <w:b/>
          <w:color w:val="183B63"/>
          <w:sz w:val="26"/>
        </w:rPr>
        <w:t>二、調查計畫待核定欄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48"/>
        <w:gridCol w:w="7704"/>
      </w:tblGrid>
      <w:tr>
        <w:trPr>
          <w:tblHeader w:val="true"/>
          <w:cantSplit/>
        </w:trPr>
        <w:tc>
          <w:tcPr>
            <w:tcW w:type="dxa" w:w="2448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  <w:shd w:fill="183B63"/>
          </w:tcPr>
          <w:p>
            <w:pPr>
              <w:keepNext/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規劃項目</w:t>
            </w:r>
          </w:p>
        </w:tc>
        <w:tc>
          <w:tcPr>
            <w:tcW w:type="dxa" w:w="770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  <w:shd w:fill="183B63"/>
          </w:tcPr>
          <w:p>
            <w:pPr>
              <w:keepNext/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填寫內容</w:t>
            </w:r>
          </w:p>
        </w:tc>
      </w:tr>
      <w:tr>
        <w:trPr>
          <w:cantSplit/>
        </w:trPr>
        <w:tc>
          <w:tcPr>
            <w:tcW w:type="dxa" w:w="2448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調查目的及決策問題</w:t>
            </w:r>
          </w:p>
        </w:tc>
        <w:tc>
          <w:tcPr>
            <w:tcW w:type="dxa" w:w="770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[待填：想確認的客戶／受訓者需求及決策用途]</w:t>
            </w:r>
          </w:p>
        </w:tc>
      </w:tr>
      <w:tr>
        <w:trPr>
          <w:cantSplit/>
        </w:trPr>
        <w:tc>
          <w:tcPr>
            <w:tcW w:type="dxa" w:w="2448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對象及名冊來源</w:t>
            </w:r>
          </w:p>
        </w:tc>
        <w:tc>
          <w:tcPr>
            <w:tcW w:type="dxa" w:w="770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[待填：實際存在的對象類型、來源、納入／排除條件]</w:t>
            </w:r>
          </w:p>
        </w:tc>
      </w:tr>
      <w:tr>
        <w:trPr>
          <w:cantSplit/>
        </w:trPr>
        <w:tc>
          <w:tcPr>
            <w:tcW w:type="dxa" w:w="2448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期間、管道及工具版本</w:t>
            </w:r>
          </w:p>
        </w:tc>
        <w:tc>
          <w:tcPr>
            <w:tcW w:type="dxa" w:w="770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[待核定：開始／結束日、面談／紙本／線上、問卷版次]</w:t>
            </w:r>
          </w:p>
        </w:tc>
      </w:tr>
      <w:tr>
        <w:trPr>
          <w:cantSplit/>
        </w:trPr>
        <w:tc>
          <w:tcPr>
            <w:tcW w:type="dxa" w:w="2448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邀請方式及回覆處理</w:t>
            </w:r>
          </w:p>
        </w:tc>
        <w:tc>
          <w:tcPr>
            <w:tcW w:type="dxa" w:w="770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[待填：邀請流程、拒答／缺答紀錄及回覆期限]</w:t>
            </w:r>
          </w:p>
        </w:tc>
      </w:tr>
      <w:tr>
        <w:trPr>
          <w:cantSplit/>
        </w:trPr>
        <w:tc>
          <w:tcPr>
            <w:tcW w:type="dxa" w:w="2448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個資告知與資料管理</w:t>
            </w:r>
          </w:p>
        </w:tc>
        <w:tc>
          <w:tcPr>
            <w:tcW w:type="dxa" w:w="770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[待核定：目的、必要欄位、保存位置、存取權及保存期限]</w:t>
            </w:r>
          </w:p>
        </w:tc>
      </w:tr>
      <w:tr>
        <w:trPr>
          <w:cantSplit/>
        </w:trPr>
        <w:tc>
          <w:tcPr>
            <w:tcW w:type="dxa" w:w="2448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分析、複核及決策功能</w:t>
            </w:r>
          </w:p>
        </w:tc>
        <w:tc>
          <w:tcPr>
            <w:tcW w:type="dxa" w:w="770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[待核定：承辦與複核功能、報告核定及課程決策方式]</w:t>
            </w:r>
          </w:p>
        </w:tc>
      </w:tr>
    </w:tbl>
    <w:p>
      <w:pPr>
        <w:spacing w:after="20" w:before="0" w:line="192" w:lineRule="auto"/>
      </w:pPr>
    </w:p>
    <w:p>
      <w:pPr>
        <w:pStyle w:val="Heading1"/>
        <w:keepNext/>
        <w:keepLines/>
        <w:spacing w:before="140" w:after="50"/>
      </w:pPr>
      <w:r>
        <w:rPr>
          <w:rFonts w:ascii="Microsoft JhengHei" w:hAnsi="Microsoft JhengHei" w:eastAsia="Microsoft JhengHei"/>
          <w:b/>
          <w:color w:val="183B63"/>
          <w:sz w:val="26"/>
        </w:rPr>
        <w:t>三、訓練需求問卷</w:t>
      </w:r>
    </w:p>
    <w:p>
      <w:pPr>
        <w:keepLines/>
        <w:spacing w:after="60" w:before="0" w:line="259" w:lineRule="auto"/>
      </w:pPr>
      <w:r>
        <w:rPr>
          <w:rFonts w:ascii="Microsoft JhengHei" w:hAnsi="Microsoft JhengHei" w:eastAsia="Microsoft JhengHei"/>
          <w:b w:val="0"/>
          <w:i w:val="0"/>
          <w:color w:val="24364B"/>
          <w:sz w:val="20"/>
        </w:rPr>
        <w:t>填答說明：請依實際工作或學習情況選答。量表題可用「1 非常不同意／不需要、2 不同意／較不需要、3 普通、4 同意／需要、5 非常同意／非常需要、N/A 不適用」。量表定義及使用方式須在施測前核定。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2"/>
        <w:gridCol w:w="7344"/>
        <w:gridCol w:w="2016"/>
      </w:tblGrid>
      <w:tr>
        <w:trPr>
          <w:tblHeader w:val="true"/>
          <w:cantSplit/>
        </w:trPr>
        <w:tc>
          <w:tcPr>
            <w:tcW w:type="dxa" w:w="792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  <w:shd w:fill="183B63"/>
          </w:tcPr>
          <w:p>
            <w:pPr>
              <w:keepNext/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5"/>
              </w:rPr>
              <w:t>題號</w:t>
            </w:r>
          </w:p>
        </w:tc>
        <w:tc>
          <w:tcPr>
            <w:tcW w:type="dxa" w:w="734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  <w:shd w:fill="183B63"/>
          </w:tcPr>
          <w:p>
            <w:pPr>
              <w:keepNext/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5"/>
              </w:rPr>
              <w:t>問題</w:t>
            </w:r>
          </w:p>
        </w:tc>
        <w:tc>
          <w:tcPr>
            <w:tcW w:type="dxa" w:w="2016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  <w:shd w:fill="183B63"/>
          </w:tcPr>
          <w:p>
            <w:pPr>
              <w:keepNext/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5"/>
              </w:rPr>
              <w:t>填答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1</w:t>
            </w:r>
          </w:p>
        </w:tc>
        <w:tc>
          <w:tcPr>
            <w:tcW w:type="dxa" w:w="734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目前的工作或服務任務中，是否有需要補強的知識或技能？</w:t>
            </w:r>
          </w:p>
        </w:tc>
        <w:tc>
          <w:tcPr>
            <w:tcW w:type="dxa" w:w="2016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1 2 3 4 5 N/A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2</w:t>
            </w:r>
          </w:p>
        </w:tc>
        <w:tc>
          <w:tcPr>
            <w:tcW w:type="dxa" w:w="734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能否說明最需要改善的一項工作情境或服務任務？</w:t>
            </w:r>
          </w:p>
        </w:tc>
        <w:tc>
          <w:tcPr>
            <w:tcW w:type="dxa" w:w="2016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[開放填答]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3</w:t>
            </w:r>
          </w:p>
        </w:tc>
        <w:tc>
          <w:tcPr>
            <w:tcW w:type="dxa" w:w="734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哪些能力對完成該任務最重要？請說明原因。</w:t>
            </w:r>
          </w:p>
        </w:tc>
        <w:tc>
          <w:tcPr>
            <w:tcW w:type="dxa" w:w="2016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[開放填答]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4</w:t>
            </w:r>
          </w:p>
        </w:tc>
        <w:tc>
          <w:tcPr>
            <w:tcW w:type="dxa" w:w="734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是否需要加強健康教育資訊的理解、說明及自我照護界線？</w:t>
            </w:r>
          </w:p>
        </w:tc>
        <w:tc>
          <w:tcPr>
            <w:tcW w:type="dxa" w:w="2016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1 2 3 4 5 N/A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5</w:t>
            </w:r>
          </w:p>
        </w:tc>
        <w:tc>
          <w:tcPr>
            <w:tcW w:type="dxa" w:w="734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是否需要學習傳統整復推拿相關技術的安全原則及非醫療界線？</w:t>
            </w:r>
          </w:p>
        </w:tc>
        <w:tc>
          <w:tcPr>
            <w:tcW w:type="dxa" w:w="2016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1 2 3 4 5 N/A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6</w:t>
            </w:r>
          </w:p>
        </w:tc>
        <w:tc>
          <w:tcPr>
            <w:tcW w:type="dxa" w:w="734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希望以何種練習或教材方式學習？</w:t>
            </w:r>
          </w:p>
        </w:tc>
        <w:tc>
          <w:tcPr>
            <w:tcW w:type="dxa" w:w="2016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[開放填答／可複選]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7</w:t>
            </w:r>
          </w:p>
        </w:tc>
        <w:tc>
          <w:tcPr>
            <w:tcW w:type="dxa" w:w="734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希望評量能如何呈現是否學會？</w:t>
            </w:r>
          </w:p>
        </w:tc>
        <w:tc>
          <w:tcPr>
            <w:tcW w:type="dxa" w:w="2016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[開放填答]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8</w:t>
            </w:r>
          </w:p>
        </w:tc>
        <w:tc>
          <w:tcPr>
            <w:tcW w:type="dxa" w:w="734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參與訓練可能遇到哪些時間、交通、設備或可近性限制？</w:t>
            </w:r>
          </w:p>
        </w:tc>
        <w:tc>
          <w:tcPr>
            <w:tcW w:type="dxa" w:w="2016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[開放填答]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9</w:t>
            </w:r>
          </w:p>
        </w:tc>
        <w:tc>
          <w:tcPr>
            <w:tcW w:type="dxa" w:w="734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若有課後複習或學習支持，哪些方式較可行？</w:t>
            </w:r>
          </w:p>
        </w:tc>
        <w:tc>
          <w:tcPr>
            <w:tcW w:type="dxa" w:w="2016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[開放填答]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10</w:t>
            </w:r>
          </w:p>
        </w:tc>
        <w:tc>
          <w:tcPr>
            <w:tcW w:type="dxa" w:w="734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除上述內容外，還有哪些工作相關能力或多元訓練需求？</w:t>
            </w:r>
          </w:p>
        </w:tc>
        <w:tc>
          <w:tcPr>
            <w:tcW w:type="dxa" w:w="2016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[開放填答]</w:t>
            </w:r>
          </w:p>
        </w:tc>
      </w:tr>
    </w:tbl>
    <w:p>
      <w:pPr>
        <w:spacing w:after="20" w:before="0" w:line="192" w:lineRule="auto"/>
      </w:pPr>
    </w:p>
    <w:p>
      <w:pPr>
        <w:pStyle w:val="Heading1"/>
        <w:keepNext/>
        <w:keepLines/>
        <w:spacing w:before="140" w:after="50"/>
      </w:pPr>
      <w:r>
        <w:rPr>
          <w:rFonts w:ascii="Microsoft JhengHei" w:hAnsi="Microsoft JhengHei" w:eastAsia="Microsoft JhengHei"/>
          <w:b/>
          <w:color w:val="183B63"/>
          <w:sz w:val="26"/>
        </w:rPr>
        <w:t>四、資料品質與分析方法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40"/>
        <w:gridCol w:w="6048"/>
        <w:gridCol w:w="2664"/>
      </w:tblGrid>
      <w:tr>
        <w:trPr>
          <w:tblHeader w:val="true"/>
          <w:cantSplit/>
        </w:trPr>
        <w:tc>
          <w:tcPr>
            <w:tcW w:type="dxa" w:w="144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  <w:shd w:fill="183B63"/>
          </w:tcPr>
          <w:p>
            <w:pPr>
              <w:keepNext/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5"/>
              </w:rPr>
              <w:t>分析項目</w:t>
            </w:r>
          </w:p>
        </w:tc>
        <w:tc>
          <w:tcPr>
            <w:tcW w:type="dxa" w:w="6048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  <w:shd w:fill="183B63"/>
          </w:tcPr>
          <w:p>
            <w:pPr>
              <w:keepNext/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5"/>
              </w:rPr>
              <w:t>方法與限制</w:t>
            </w:r>
          </w:p>
        </w:tc>
        <w:tc>
          <w:tcPr>
            <w:tcW w:type="dxa" w:w="266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  <w:shd w:fill="183B63"/>
          </w:tcPr>
          <w:p>
            <w:pPr>
              <w:keepNext/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5"/>
              </w:rPr>
              <w:t>結果欄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邀請與回收</w:t>
            </w:r>
          </w:p>
        </w:tc>
        <w:tc>
          <w:tcPr>
            <w:tcW w:type="dxa" w:w="6048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記錄邀請數、完成數、有效數及缺答；回收率＝完成問卷數／實際邀請數。</w:t>
            </w:r>
          </w:p>
        </w:tc>
        <w:tc>
          <w:tcPr>
            <w:tcW w:type="dxa" w:w="266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邀請 [ ]；完成 [ ]；有效 [ ]；待查核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量表題</w:t>
            </w:r>
          </w:p>
        </w:tc>
        <w:tc>
          <w:tcPr>
            <w:tcW w:type="dxa" w:w="6048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列有效樣本數、各選項分布及集中／分歧情形；不得只用平均掩蓋差異。</w:t>
            </w:r>
          </w:p>
        </w:tc>
        <w:tc>
          <w:tcPr>
            <w:tcW w:type="dxa" w:w="266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[待實際資料分析]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開放題</w:t>
            </w:r>
          </w:p>
        </w:tc>
        <w:tc>
          <w:tcPr>
            <w:tcW w:type="dxa" w:w="6048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以主題分類並保留不同意見；去除可識別資訊，保留編碼及核對紀錄。</w:t>
            </w:r>
          </w:p>
        </w:tc>
        <w:tc>
          <w:tcPr>
            <w:tcW w:type="dxa" w:w="266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[待實際資料分析]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需求排序</w:t>
            </w:r>
          </w:p>
        </w:tc>
        <w:tc>
          <w:tcPr>
            <w:tcW w:type="dxa" w:w="6048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依重要性、工作關聯、安全要求、急迫性及可行性整理；排序理由須可回查。</w:t>
            </w:r>
          </w:p>
        </w:tc>
        <w:tc>
          <w:tcPr>
            <w:tcW w:type="dxa" w:w="266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[待審查]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訓練或非訓練處理</w:t>
            </w:r>
          </w:p>
        </w:tc>
        <w:tc>
          <w:tcPr>
            <w:tcW w:type="dxa" w:w="6048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區分能力缺口與流程、設備、制度、資源或管理問題。</w:t>
            </w:r>
          </w:p>
        </w:tc>
        <w:tc>
          <w:tcPr>
            <w:tcW w:type="dxa" w:w="266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[待審查]</w:t>
            </w:r>
          </w:p>
        </w:tc>
      </w:tr>
    </w:tbl>
    <w:p>
      <w:pPr>
        <w:spacing w:after="20" w:before="0" w:line="192" w:lineRule="auto"/>
      </w:pPr>
    </w:p>
    <w:p>
      <w:pPr>
        <w:pStyle w:val="Heading1"/>
        <w:keepNext/>
        <w:keepLines/>
        <w:spacing w:before="140" w:after="50"/>
      </w:pPr>
      <w:r>
        <w:rPr>
          <w:rFonts w:ascii="Microsoft JhengHei" w:hAnsi="Microsoft JhengHei" w:eastAsia="Microsoft JhengHei"/>
          <w:b/>
          <w:color w:val="183B63"/>
          <w:sz w:val="26"/>
        </w:rPr>
        <w:t>五、分析報告與決策紀錄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96"/>
        <w:gridCol w:w="7056"/>
      </w:tblGrid>
      <w:tr>
        <w:trPr>
          <w:tblHeader w:val="true"/>
          <w:cantSplit/>
        </w:trPr>
        <w:tc>
          <w:tcPr>
            <w:tcW w:type="dxa" w:w="3096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  <w:shd w:fill="183B63"/>
          </w:tcPr>
          <w:p>
            <w:pPr>
              <w:keepNext/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欄位</w:t>
            </w:r>
          </w:p>
        </w:tc>
        <w:tc>
          <w:tcPr>
            <w:tcW w:type="dxa" w:w="7056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  <w:shd w:fill="183B63"/>
          </w:tcPr>
          <w:p>
            <w:pPr>
              <w:keepNext/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填寫內容</w:t>
            </w:r>
          </w:p>
        </w:tc>
      </w:tr>
      <w:tr>
        <w:trPr>
          <w:cantSplit/>
        </w:trPr>
        <w:tc>
          <w:tcPr>
            <w:tcW w:type="dxa" w:w="3096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調查範圍、工具與資料期間</w:t>
            </w:r>
          </w:p>
        </w:tc>
        <w:tc>
          <w:tcPr>
            <w:tcW w:type="dxa" w:w="7056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[待補；附核定版及原始資料位置]</w:t>
            </w:r>
          </w:p>
        </w:tc>
      </w:tr>
      <w:tr>
        <w:trPr>
          <w:cantSplit/>
        </w:trPr>
        <w:tc>
          <w:tcPr>
            <w:tcW w:type="dxa" w:w="3096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資料品質與限制</w:t>
            </w:r>
          </w:p>
        </w:tc>
        <w:tc>
          <w:tcPr>
            <w:tcW w:type="dxa" w:w="7056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[待補；缺答、樣本偏差、邀請範圍及限制]</w:t>
            </w:r>
          </w:p>
        </w:tc>
      </w:tr>
      <w:tr>
        <w:trPr>
          <w:cantSplit/>
        </w:trPr>
        <w:tc>
          <w:tcPr>
            <w:tcW w:type="dxa" w:w="3096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主要需求與證據</w:t>
            </w:r>
          </w:p>
        </w:tc>
        <w:tc>
          <w:tcPr>
            <w:tcW w:type="dxa" w:w="7056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[待補；各需求需能回查題目、訪談或原始紀錄]</w:t>
            </w:r>
          </w:p>
        </w:tc>
      </w:tr>
      <w:tr>
        <w:trPr>
          <w:cantSplit/>
        </w:trPr>
        <w:tc>
          <w:tcPr>
            <w:tcW w:type="dxa" w:w="3096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職能需求與訓練建議</w:t>
            </w:r>
          </w:p>
        </w:tc>
        <w:tc>
          <w:tcPr>
            <w:tcW w:type="dxa" w:w="7056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[待補；說明需求如何對應能力差距與學習目標]</w:t>
            </w:r>
          </w:p>
        </w:tc>
      </w:tr>
      <w:tr>
        <w:trPr>
          <w:cantSplit/>
        </w:trPr>
        <w:tc>
          <w:tcPr>
            <w:tcW w:type="dxa" w:w="3096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非訓練改善事項</w:t>
            </w:r>
          </w:p>
        </w:tc>
        <w:tc>
          <w:tcPr>
            <w:tcW w:type="dxa" w:w="7056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[待補；流程、資源或服務調整建議]</w:t>
            </w:r>
          </w:p>
        </w:tc>
      </w:tr>
      <w:tr>
        <w:trPr>
          <w:cantSplit/>
        </w:trPr>
        <w:tc>
          <w:tcPr>
            <w:tcW w:type="dxa" w:w="3096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審查決策及後續追蹤</w:t>
            </w:r>
          </w:p>
        </w:tc>
        <w:tc>
          <w:tcPr>
            <w:tcW w:type="dxa" w:w="7056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[待補；核定功能、日期、負責功能及追蹤方式]</w:t>
            </w:r>
          </w:p>
        </w:tc>
      </w:tr>
    </w:tbl>
    <w:p>
      <w:pPr>
        <w:spacing w:after="20" w:before="0" w:line="192" w:lineRule="auto"/>
      </w:pPr>
    </w:p>
    <w:p>
      <w:pPr>
        <w:pStyle w:val="Heading2"/>
        <w:keepNext/>
        <w:keepLines/>
        <w:spacing w:before="80" w:after="50"/>
      </w:pPr>
      <w:r>
        <w:rPr>
          <w:rFonts w:ascii="Microsoft JhengHei" w:hAnsi="Microsoft JhengHei" w:eastAsia="Microsoft JhengHei"/>
          <w:b/>
          <w:color w:val="245A81"/>
          <w:sz w:val="22"/>
        </w:rPr>
        <w:t>依據與使用界線</w:t>
      </w:r>
    </w:p>
    <w:p>
      <w:pPr>
        <w:keepLines/>
        <w:spacing w:after="60" w:before="0" w:line="259" w:lineRule="auto"/>
      </w:pPr>
      <w:r>
        <w:rPr>
          <w:rFonts w:ascii="Microsoft JhengHei" w:hAnsi="Microsoft JhengHei" w:eastAsia="Microsoft JhengHei"/>
          <w:b w:val="0"/>
          <w:i w:val="0"/>
          <w:color w:val="24364B"/>
          <w:sz w:val="18"/>
        </w:rPr>
        <w:t>對應查核項目：訓練課程計畫配合客戶及受訓者需求、職能需求的調查規劃的證明。</w:t>
      </w:r>
    </w:p>
    <w:p>
      <w:pPr>
        <w:keepLines/>
        <w:spacing w:after="60" w:before="0" w:line="259" w:lineRule="auto"/>
      </w:pPr>
      <w:r>
        <w:rPr>
          <w:rFonts w:ascii="Microsoft JhengHei" w:hAnsi="Microsoft JhengHei" w:eastAsia="Microsoft JhengHei"/>
          <w:b w:val="0"/>
          <w:i w:val="0"/>
          <w:color w:val="24364B"/>
          <w:sz w:val="17"/>
        </w:rPr>
        <w:t>來源：TTQS 人才發展品質管理系統「查核佐證文件資料表－訓練機構版」，第 2 頁。官方文字作為文件範圍依據；本稿中的流程、欄位及方法均為可供協會審議修訂的工作設計，不證明本會已採行。</w:t>
      </w:r>
    </w:p>
    <w:p>
      <w:pPr>
        <w:keepLines/>
        <w:spacing w:after="60" w:before="0" w:line="259" w:lineRule="auto"/>
      </w:pPr>
      <w:r>
        <w:rPr>
          <w:rFonts w:ascii="Microsoft JhengHei" w:hAnsi="Microsoft JhengHei" w:eastAsia="Microsoft JhengHei"/>
          <w:b w:val="0"/>
          <w:i w:val="0"/>
          <w:color w:val="24364B"/>
          <w:sz w:val="17"/>
        </w:rPr>
        <w:t>健康教育及傳統整復推拿相關內容限於訓練與非醫療健康教育範圍；不得以本稿宣稱診斷、治療、療效或實際訓練成果。</w:t>
      </w:r>
    </w:p>
    <w:p>
      <w:pPr>
        <w:pStyle w:val="Heading1"/>
        <w:keepNext/>
        <w:pageBreakBefore/>
      </w:pPr>
      <w:r>
        <w:rPr>
          <w:rFonts w:ascii="Microsoft JhengHei" w:hAnsi="Microsoft JhengHei" w:eastAsia="Microsoft JhengHei" w:cs="Microsoft JhengHei"/>
          <w:b/>
          <w:color w:val="1F4E78"/>
          <w:sz w:val="28"/>
        </w:rPr>
        <w:t>六、需求調查結果、分群限制與課程決策閉環</w:t>
      </w:r>
    </w:p>
    <w:p>
      <w:pPr>
        <w:spacing w:before="40" w:after="100"/>
      </w:pPr>
      <w:r>
        <w:rPr>
          <w:rFonts w:ascii="Microsoft JhengHei" w:hAnsi="Microsoft JhengHei" w:eastAsia="Microsoft JhengHei" w:cs="Microsoft JhengHei"/>
          <w:b w:val="0"/>
          <w:color w:val="404040"/>
          <w:sz w:val="18"/>
        </w:rPr>
        <w:t>本文件是客戶及潛在受訓者需求調查方案。沒有實際回覆時只保留問卷及分析欄；不得把問題設計、空白欄或少數意見說成需求結論。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002"/>
        <w:gridCol w:w="2002"/>
        <w:gridCol w:w="2002"/>
        <w:gridCol w:w="2002"/>
        <w:gridCol w:w="2002"/>
      </w:tblGrid>
      <w:tr>
        <w:trPr>
          <w:tblHeader w:val="true"/>
        </w:trPr>
        <w:tc>
          <w:tcPr>
            <w:tcW w:type="dxa" w:w="2002"/>
            <w:vAlign w:val="center"/>
            <w:shd w:fill="1F4E78"/>
          </w:tcPr>
          <w:p>
            <w:pPr>
              <w:spacing w:before="0" w:after="40" w:line="252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6"/>
              </w:rPr>
              <w:t>調查構面／題目ID</w:t>
            </w:r>
          </w:p>
        </w:tc>
        <w:tc>
          <w:tcPr>
            <w:tcW w:type="dxa" w:w="2002"/>
            <w:vAlign w:val="center"/>
            <w:shd w:fill="1F4E78"/>
          </w:tcPr>
          <w:p>
            <w:pPr>
              <w:spacing w:before="0" w:after="40" w:line="252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6"/>
              </w:rPr>
              <w:t>有效作答數／分母</w:t>
            </w:r>
          </w:p>
        </w:tc>
        <w:tc>
          <w:tcPr>
            <w:tcW w:type="dxa" w:w="2002"/>
            <w:vAlign w:val="center"/>
            <w:shd w:fill="1F4E78"/>
          </w:tcPr>
          <w:p>
            <w:pPr>
              <w:spacing w:before="0" w:after="40" w:line="252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6"/>
              </w:rPr>
              <w:t>結果／差異與限制</w:t>
            </w:r>
          </w:p>
        </w:tc>
        <w:tc>
          <w:tcPr>
            <w:tcW w:type="dxa" w:w="2002"/>
            <w:vAlign w:val="center"/>
            <w:shd w:fill="1F4E78"/>
          </w:tcPr>
          <w:p>
            <w:pPr>
              <w:spacing w:before="0" w:after="40" w:line="252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6"/>
              </w:rPr>
              <w:t>需求或能力差距</w:t>
            </w:r>
          </w:p>
        </w:tc>
        <w:tc>
          <w:tcPr>
            <w:tcW w:type="dxa" w:w="2002"/>
            <w:vAlign w:val="center"/>
            <w:shd w:fill="1F4E78"/>
          </w:tcPr>
          <w:p>
            <w:pPr>
              <w:spacing w:before="0" w:after="40" w:line="252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6"/>
              </w:rPr>
              <w:t>課程／非訓練決定與證據</w:t>
            </w:r>
          </w:p>
        </w:tc>
      </w:tr>
      <w:tr>
        <w:tc>
          <w:tcPr>
            <w:tcW w:type="dxa" w:w="2002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工作任務及能力需求</w:t>
            </w:r>
          </w:p>
        </w:tc>
        <w:tc>
          <w:tcPr>
            <w:tcW w:type="dxa" w:w="2002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[待填]</w:t>
            </w:r>
          </w:p>
        </w:tc>
        <w:tc>
          <w:tcPr>
            <w:tcW w:type="dxa" w:w="2002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[待實測；列缺答與分群範圍]</w:t>
            </w:r>
          </w:p>
        </w:tc>
        <w:tc>
          <w:tcPr>
            <w:tcW w:type="dxa" w:w="2002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[待分析]</w:t>
            </w:r>
          </w:p>
        </w:tc>
        <w:tc>
          <w:tcPr>
            <w:tcW w:type="dxa" w:w="2002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[待審議]</w:t>
            </w:r>
          </w:p>
        </w:tc>
      </w:tr>
      <w:tr>
        <w:tc>
          <w:tcPr>
            <w:tcW w:type="dxa" w:w="2002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健康教育核心方向</w:t>
            </w:r>
          </w:p>
        </w:tc>
        <w:tc>
          <w:tcPr>
            <w:tcW w:type="dxa" w:w="2002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[待填]</w:t>
            </w:r>
          </w:p>
        </w:tc>
        <w:tc>
          <w:tcPr>
            <w:tcW w:type="dxa" w:w="2002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[待實測；不推論醫療需求]</w:t>
            </w:r>
          </w:p>
        </w:tc>
        <w:tc>
          <w:tcPr>
            <w:tcW w:type="dxa" w:w="2002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[待分析]</w:t>
            </w:r>
          </w:p>
        </w:tc>
        <w:tc>
          <w:tcPr>
            <w:tcW w:type="dxa" w:w="2002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[待審議]</w:t>
            </w:r>
          </w:p>
        </w:tc>
      </w:tr>
      <w:tr>
        <w:tc>
          <w:tcPr>
            <w:tcW w:type="dxa" w:w="2002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傳統整復推拿技術核心方向</w:t>
            </w:r>
          </w:p>
        </w:tc>
        <w:tc>
          <w:tcPr>
            <w:tcW w:type="dxa" w:w="2002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[待填]</w:t>
            </w:r>
          </w:p>
        </w:tc>
        <w:tc>
          <w:tcPr>
            <w:tcW w:type="dxa" w:w="2002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[待實測；維持安全及非醫療界線]</w:t>
            </w:r>
          </w:p>
        </w:tc>
        <w:tc>
          <w:tcPr>
            <w:tcW w:type="dxa" w:w="2002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[待分析]</w:t>
            </w:r>
          </w:p>
        </w:tc>
        <w:tc>
          <w:tcPr>
            <w:tcW w:type="dxa" w:w="2002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[待審議]</w:t>
            </w:r>
          </w:p>
        </w:tc>
      </w:tr>
      <w:tr>
        <w:tc>
          <w:tcPr>
            <w:tcW w:type="dxa" w:w="2002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其他多元課程需求</w:t>
            </w:r>
          </w:p>
        </w:tc>
        <w:tc>
          <w:tcPr>
            <w:tcW w:type="dxa" w:w="2002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[待填]</w:t>
            </w:r>
          </w:p>
        </w:tc>
        <w:tc>
          <w:tcPr>
            <w:tcW w:type="dxa" w:w="2002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[只按真實回覆與資源判斷]</w:t>
            </w:r>
          </w:p>
        </w:tc>
        <w:tc>
          <w:tcPr>
            <w:tcW w:type="dxa" w:w="2002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[待分析]</w:t>
            </w:r>
          </w:p>
        </w:tc>
        <w:tc>
          <w:tcPr>
            <w:tcW w:type="dxa" w:w="2002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[待審議]</w:t>
            </w:r>
          </w:p>
        </w:tc>
      </w:tr>
    </w:tbl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336"/>
        <w:gridCol w:w="3336"/>
        <w:gridCol w:w="3336"/>
      </w:tblGrid>
      <w:tr>
        <w:trPr>
          <w:tblHeader w:val="true"/>
        </w:trPr>
        <w:tc>
          <w:tcPr>
            <w:tcW w:type="dxa" w:w="3336"/>
            <w:vAlign w:val="center"/>
            <w:shd w:fill="1F4E78"/>
          </w:tcPr>
          <w:p>
            <w:pPr>
              <w:spacing w:before="0" w:after="40" w:line="252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6"/>
              </w:rPr>
              <w:t>結果指標</w:t>
            </w:r>
          </w:p>
        </w:tc>
        <w:tc>
          <w:tcPr>
            <w:tcW w:type="dxa" w:w="3336"/>
            <w:vAlign w:val="center"/>
            <w:shd w:fill="1F4E78"/>
          </w:tcPr>
          <w:p>
            <w:pPr>
              <w:spacing w:before="0" w:after="40" w:line="252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6"/>
              </w:rPr>
              <w:t>計算口徑</w:t>
            </w:r>
          </w:p>
        </w:tc>
        <w:tc>
          <w:tcPr>
            <w:tcW w:type="dxa" w:w="3336"/>
            <w:vAlign w:val="center"/>
            <w:shd w:fill="1F4E78"/>
          </w:tcPr>
          <w:p>
            <w:pPr>
              <w:spacing w:before="0" w:after="40" w:line="252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6"/>
              </w:rPr>
              <w:t>資料品質／解釋限制</w:t>
            </w:r>
          </w:p>
        </w:tc>
      </w:tr>
      <w:tr>
        <w:tc>
          <w:tcPr>
            <w:tcW w:type="dxa" w:w="3336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有效回覆率</w:t>
            </w:r>
          </w:p>
        </w:tc>
        <w:tc>
          <w:tcPr>
            <w:tcW w:type="dxa" w:w="3336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有效問卷份數 ÷ 實際邀請數；分母需同一邀請範圍。</w:t>
            </w:r>
          </w:p>
        </w:tc>
        <w:tc>
          <w:tcPr>
            <w:tcW w:type="dxa" w:w="3336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記錄拒答、重複、缺答及排除理由。</w:t>
            </w:r>
          </w:p>
        </w:tc>
      </w:tr>
      <w:tr>
        <w:tc>
          <w:tcPr>
            <w:tcW w:type="dxa" w:w="3336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需求平均分</w:t>
            </w:r>
          </w:p>
        </w:tc>
        <w:tc>
          <w:tcPr>
            <w:tcW w:type="dxa" w:w="3336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有效量表分數總和 ÷ 有效作答數。</w:t>
            </w:r>
          </w:p>
        </w:tc>
        <w:tc>
          <w:tcPr>
            <w:tcW w:type="dxa" w:w="3336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僅適用同一量尺；列各選項分布及樣本數。</w:t>
            </w:r>
          </w:p>
        </w:tc>
      </w:tr>
      <w:tr>
        <w:tc>
          <w:tcPr>
            <w:tcW w:type="dxa" w:w="3336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高需求比例</w:t>
            </w:r>
          </w:p>
        </w:tc>
        <w:tc>
          <w:tcPr>
            <w:tcW w:type="dxa" w:w="3336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事前定義為高需求的分數人數 ÷ 該題有效作答數。</w:t>
            </w:r>
          </w:p>
        </w:tc>
        <w:tc>
          <w:tcPr>
            <w:tcW w:type="dxa" w:w="3336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門檻需事前核定；不可事後挑門檻。</w:t>
            </w:r>
          </w:p>
        </w:tc>
      </w:tr>
      <w:tr>
        <w:tc>
          <w:tcPr>
            <w:tcW w:type="dxa" w:w="3336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覆蓋率／差距</w:t>
            </w:r>
          </w:p>
        </w:tc>
        <w:tc>
          <w:tcPr>
            <w:tcW w:type="dxa" w:w="3336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收到有效資料的預定對象數 ÷ 預定涵蓋對象數；差距依目標口徑計。</w:t>
            </w:r>
          </w:p>
        </w:tc>
        <w:tc>
          <w:tcPr>
            <w:tcW w:type="dxa" w:w="3336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說明母體、抽樣、樣本不足與代表性限制。</w:t>
            </w:r>
          </w:p>
        </w:tc>
      </w:tr>
    </w:tbl>
    <w:p>
      <w:pPr>
        <w:spacing w:before="40" w:after="100"/>
      </w:pPr>
      <w:r>
        <w:rPr>
          <w:rFonts w:ascii="Microsoft JhengHei" w:hAnsi="Microsoft JhengHei" w:eastAsia="Microsoft JhengHei" w:cs="Microsoft JhengHei"/>
          <w:b w:val="0"/>
          <w:color w:val="404040"/>
          <w:sz w:val="18"/>
        </w:rPr>
        <w:t>分群僅採事前核定、非識別且樣本足夠的欄位；可能識別個人或資料不足時標 N/A 並說明。每項課程決定須保留採納／未採納理由、責任功能、期限及下一次驗證資料。追溯：需求題目 → 原始回覆 → 統計口徑 → 能力差距 → 課程設計決定 → 後續驗證。</w:t>
      </w:r>
    </w:p>
    <w:p>
      <w:pPr>
        <w:keepNext/>
        <w:jc w:val="center"/>
      </w:pPr>
      <w:r>
        <w:rPr>
          <w:rFonts w:ascii="Microsoft JhengHei" w:hAnsi="Microsoft JhengHei"/>
          <w:b/>
          <w:sz w:val="20"/>
        </w:rPr>
        <w:t>圖表架構｜訓練需求定期趨勢圖（空白架構）</w:t>
      </w:r>
    </w:p>
    <w:p>
      <w:pPr>
        <w:keepLines/>
        <w:jc w:val="center"/>
      </w:pPr>
      <w:r>
        <w:drawing>
          <wp:inline xmlns:a="http://schemas.openxmlformats.org/drawingml/2006/main" xmlns:pic="http://schemas.openxmlformats.org/drawingml/2006/picture">
            <wp:extent cx="5623560" cy="237439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033_訓練需求趨勢圖_空白架構_R01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237439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  <w:keepNext/>
        <w:pageBreakBefore/>
      </w:pPr>
      <w:r>
        <w:t>核心指標實測、差距與改善紀錄表</w:t>
      </w:r>
    </w:p>
    <w:p>
      <w:r>
        <w:t>只有取得同口徑的實際調查資料後填寫；基準、實績及目標須說明期間與母體，資料不足時保留待補。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668"/>
        <w:gridCol w:w="1668"/>
        <w:gridCol w:w="1668"/>
        <w:gridCol w:w="1668"/>
        <w:gridCol w:w="1668"/>
        <w:gridCol w:w="1668"/>
      </w:tblGrid>
      <w:tr>
        <w:trPr>
          <w:tblHeader w:val="true"/>
          <w:cantSplit/>
        </w:trPr>
        <w:tc>
          <w:tcPr>
            <w:tcW w:type="dxa" w:w="1668"/>
            <w:shd w:fill="1F4E78"/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指標／公式</w:t>
            </w:r>
          </w:p>
        </w:tc>
        <w:tc>
          <w:tcPr>
            <w:tcW w:type="dxa" w:w="1668"/>
            <w:shd w:fill="1F4E78"/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基準</w:t>
            </w:r>
          </w:p>
        </w:tc>
        <w:tc>
          <w:tcPr>
            <w:tcW w:type="dxa" w:w="1668"/>
            <w:shd w:fill="1F4E78"/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實績／分子分母</w:t>
            </w:r>
          </w:p>
        </w:tc>
        <w:tc>
          <w:tcPr>
            <w:tcW w:type="dxa" w:w="1668"/>
            <w:shd w:fill="1F4E78"/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目標</w:t>
            </w:r>
          </w:p>
        </w:tc>
        <w:tc>
          <w:tcPr>
            <w:tcW w:type="dxa" w:w="1668"/>
            <w:shd w:fill="1F4E78"/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差距／原因</w:t>
            </w:r>
          </w:p>
        </w:tc>
        <w:tc>
          <w:tcPr>
            <w:tcW w:type="dxa" w:w="1668"/>
            <w:shd w:fill="1F4E78"/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改善行動／責任／期限／再驗證</w:t>
            </w:r>
          </w:p>
        </w:tc>
      </w:tr>
      <w:tr>
        <w:trPr>
          <w:cantSplit/>
        </w:trPr>
        <w:tc>
          <w:tcPr>
            <w:tcW w:type="dxa" w:w="1668"/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[指標ID／口徑待核定]</w:t>
            </w:r>
          </w:p>
        </w:tc>
        <w:tc>
          <w:tcPr>
            <w:tcW w:type="dxa" w:w="1668"/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[期間、來源及數值待補]</w:t>
            </w:r>
          </w:p>
        </w:tc>
        <w:tc>
          <w:tcPr>
            <w:tcW w:type="dxa" w:w="1668"/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[實測值、分子／分母及缺失待補]</w:t>
            </w:r>
          </w:p>
        </w:tc>
        <w:tc>
          <w:tcPr>
            <w:tcW w:type="dxa" w:w="1668"/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[核定目標待補]</w:t>
            </w:r>
          </w:p>
        </w:tc>
        <w:tc>
          <w:tcPr>
            <w:tcW w:type="dxa" w:w="1668"/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[依同一口徑計算；原因待分析]</w:t>
            </w:r>
          </w:p>
        </w:tc>
        <w:tc>
          <w:tcPr>
            <w:tcW w:type="dxa" w:w="1668"/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[待審議；責任、期限及下一期指標待核定]</w:t>
            </w:r>
          </w:p>
        </w:tc>
      </w:tr>
      <w:tr>
        <w:trPr>
          <w:cantSplit/>
        </w:trPr>
        <w:tc>
          <w:tcPr>
            <w:tcW w:type="dxa" w:w="1668"/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[指標ID／口徑待核定]</w:t>
            </w:r>
          </w:p>
        </w:tc>
        <w:tc>
          <w:tcPr>
            <w:tcW w:type="dxa" w:w="1668"/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[期間、來源及數值待補]</w:t>
            </w:r>
          </w:p>
        </w:tc>
        <w:tc>
          <w:tcPr>
            <w:tcW w:type="dxa" w:w="1668"/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[實測值、分子／分母及缺失待補]</w:t>
            </w:r>
          </w:p>
        </w:tc>
        <w:tc>
          <w:tcPr>
            <w:tcW w:type="dxa" w:w="1668"/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[核定目標待補]</w:t>
            </w:r>
          </w:p>
        </w:tc>
        <w:tc>
          <w:tcPr>
            <w:tcW w:type="dxa" w:w="1668"/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[資料不足時填無法判定]</w:t>
            </w:r>
          </w:p>
        </w:tc>
        <w:tc>
          <w:tcPr>
            <w:tcW w:type="dxa" w:w="1668"/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[待審議；責任、期限及下一期指標待核定]</w:t>
            </w:r>
          </w:p>
        </w:tc>
      </w:tr>
    </w:tbl>
    <w:p>
      <w:pPr>
        <w:pStyle w:val="Heading2"/>
      </w:pPr>
      <w:r>
        <w:t>真實資料升格前核對清單</w:t>
      </w:r>
    </w:p>
    <w:p>
      <w:pPr>
        <w:spacing w:after="80"/>
      </w:pPr>
      <w:r>
        <w:t>逐項以原始資料及核定紀錄核對；未取得資料時勾選「待補」並保留工作稿狀態。本清單不表示事項已發生。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336"/>
        <w:gridCol w:w="3336"/>
        <w:gridCol w:w="3336"/>
      </w:tblGrid>
      <w:tr>
        <w:trPr>
          <w:tblHeader w:val="true"/>
          <w:cantSplit/>
        </w:trPr>
        <w:tc>
          <w:tcPr>
            <w:tcW w:type="dxa" w:w="3336"/>
            <w:shd w:fill="1F4E78"/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核對項目</w:t>
            </w:r>
          </w:p>
        </w:tc>
        <w:tc>
          <w:tcPr>
            <w:tcW w:type="dxa" w:w="3336"/>
            <w:shd w:fill="1F4E78"/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應回查資料／通過條件</w:t>
            </w:r>
          </w:p>
        </w:tc>
        <w:tc>
          <w:tcPr>
            <w:tcW w:type="dxa" w:w="3336"/>
            <w:shd w:fill="1F4E78"/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狀態／責任／證據位置</w:t>
            </w:r>
          </w:p>
        </w:tc>
      </w:tr>
      <w:tr>
        <w:trPr>
          <w:cantSplit/>
        </w:trPr>
        <w:tc>
          <w:tcPr>
            <w:tcW w:type="dxa" w:w="3336"/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調查母體與計畫</w:t>
            </w:r>
          </w:p>
        </w:tc>
        <w:tc>
          <w:tcPr>
            <w:tcW w:type="dxa" w:w="3336"/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對象、母體、抽樣／邀請方式、期間、工具版次及個資告知均有核定及可回查依據。</w:t>
            </w:r>
          </w:p>
        </w:tc>
        <w:tc>
          <w:tcPr>
            <w:tcW w:type="dxa" w:w="3336"/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□符合 □待補 □不適用；計畫／工具版：[待填]</w:t>
            </w:r>
          </w:p>
        </w:tc>
      </w:tr>
      <w:tr>
        <w:trPr>
          <w:cantSplit/>
        </w:trPr>
        <w:tc>
          <w:tcPr>
            <w:tcW w:type="dxa" w:w="3336"/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原始資料及有效分母</w:t>
            </w:r>
          </w:p>
        </w:tc>
        <w:tc>
          <w:tcPr>
            <w:tcW w:type="dxa" w:w="3336"/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回覆可回查；邀請、回收、有效、缺答、重複及排除數符合事前規則。</w:t>
            </w:r>
          </w:p>
        </w:tc>
        <w:tc>
          <w:tcPr>
            <w:tcW w:type="dxa" w:w="3336"/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□符合 □待補 □不適用；原始資料／計算表：[待填]</w:t>
            </w:r>
          </w:p>
        </w:tc>
      </w:tr>
      <w:tr>
        <w:trPr>
          <w:cantSplit/>
        </w:trPr>
        <w:tc>
          <w:tcPr>
            <w:tcW w:type="dxa" w:w="3336"/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指標、趨勢及限制</w:t>
            </w:r>
          </w:p>
        </w:tc>
        <w:tc>
          <w:tcPr>
            <w:tcW w:type="dxa" w:w="3336"/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公式、量尺、母體與期間一致；無兩期以上可比實測資料時圖表保持空白，不推論趨勢。</w:t>
            </w:r>
          </w:p>
        </w:tc>
        <w:tc>
          <w:tcPr>
            <w:tcW w:type="dxa" w:w="3336"/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□符合 □待補 □不適用；口徑／圖表來源：[待填]</w:t>
            </w:r>
          </w:p>
        </w:tc>
      </w:tr>
      <w:tr>
        <w:trPr>
          <w:cantSplit/>
        </w:trPr>
        <w:tc>
          <w:tcPr>
            <w:tcW w:type="dxa" w:w="3336"/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需求差距與課程決策</w:t>
            </w:r>
          </w:p>
        </w:tc>
        <w:tc>
          <w:tcPr>
            <w:tcW w:type="dxa" w:w="3336"/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需求、能力差距、課程或非訓練處置有證據、採納理由、責任及期限。</w:t>
            </w:r>
          </w:p>
        </w:tc>
        <w:tc>
          <w:tcPr>
            <w:tcW w:type="dxa" w:w="3336"/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□符合 □待補 □不適用；分析／決議：[待填]</w:t>
            </w:r>
          </w:p>
        </w:tc>
      </w:tr>
      <w:tr>
        <w:trPr>
          <w:cantSplit/>
        </w:trPr>
        <w:tc>
          <w:tcPr>
            <w:tcW w:type="dxa" w:w="3336"/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下一期驗證</w:t>
            </w:r>
          </w:p>
        </w:tc>
        <w:tc>
          <w:tcPr>
            <w:tcW w:type="dxa" w:w="3336"/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列出下一期衡量指標、目標核定、時點、資料來源及可比較條件。</w:t>
            </w:r>
          </w:p>
        </w:tc>
        <w:tc>
          <w:tcPr>
            <w:tcW w:type="dxa" w:w="3336"/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□符合 □待補 □不適用；驗證計畫：[待填]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1909" w:h="16834"/>
      <w:pgMar w:top="893" w:right="950" w:bottom="893" w:left="950" w:header="403" w:footer="40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JhengHei" w:hAnsi="Microsoft JhengHei" w:eastAsia="Microsoft JhengHei"/>
        <w:b w:val="0"/>
        <w:color w:val="62748A"/>
        <w:sz w:val="16"/>
      </w:rPr>
      <w:t xml:space="preserve">待實際資料或核定後更新｜第 </w:t>
    </w:r>
    <w:r>
      <w:rPr>
        <w:rFonts w:ascii="Microsoft JhengHei" w:hAnsi="Microsoft JhengHei" w:eastAsia="Microsoft JhengHei"/>
        <w:b w:val="0"/>
        <w:color w:val="62748A"/>
        <w:sz w:val="16"/>
      </w:rPr>
      <w:fldChar w:fldCharType="begin"/>
      <w:instrText xml:space="preserve">PAGE</w:instrText>
      <w:fldChar w:fldCharType="separate"/>
      <w:t>1</w:t>
      <w:fldChar w:fldCharType="end"/>
    </w:r>
    <w:r>
      <w:rPr>
        <w:rFonts w:ascii="Microsoft JhengHei" w:hAnsi="Microsoft JhengHei" w:eastAsia="Microsoft JhengHei"/>
        <w:b w:val="0"/>
        <w:color w:val="62748A"/>
        <w:sz w:val="16"/>
      </w:rPr>
      <w:t xml:space="preserve"> 頁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Microsoft JhengHei" w:hAnsi="Microsoft JhengHei" w:eastAsia="Microsoft JhengHei"/>
        <w:b w:val="0"/>
        <w:color w:val="62748A"/>
        <w:sz w:val="16"/>
      </w:rPr>
      <w:t>社團法人屏東縣原始點關懷協會｜工作稿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 w:line="259" w:lineRule="auto"/>
    </w:pPr>
    <w:rPr>
      <w:rFonts w:ascii="Microsoft JhengHei" w:hAnsi="Microsoft JhengHei" w:eastAsia="Microsoft JhengHei"/>
      <w:color w:val="24364B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183B63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245A81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icrosoft JhengHei" w:hAnsi="Microsoft JhengHei" w:eastAsia="Microsoft JhengHei"/>
      <w:b/>
      <w:color w:val="183B63"/>
      <w:spacing w:val="5"/>
      <w:kern w:val="28"/>
      <w:sz w:val="3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訓練需求與職能需求調查計畫</dc:title>
  <dc:subject>訓練課程計畫配合客戶及受訓者需求、職能需求的調查規劃的證明。</dc:subject>
  <dc:creator>社團法人屏東縣原始點關懷協會</dc:creator>
  <cp:keywords>TTQS; 工作稿; 待核定; 待原始資料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