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七、職能標準、差距計算與雷達圖資料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職能面向／任務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標準來源／版次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現況級別與直接證據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差距／支持與複評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差距＝目標級別－現況級別；[行動待填]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安全示範與界線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[待核定規範／資格]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學習支持與評量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資料管理與品質改善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職能行為指標與差距分析表</w:t>
      </w:r>
    </w:p>
    <w:p>
      <w:pPr>
        <w:spacing w:after="80"/>
      </w:pPr>
      <w:r>
        <w:t>逐項列出職能及可觀察行為，以核定標準對照可追溯現況；未取得評量前不填現況或差距結論。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職能／任務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可觀察行為指標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應達標準／依據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現況資料／來源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差距判定／分析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發展措施／責任期限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驗證方式／證據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</w:tbl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