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rFonts w:ascii="Microsoft JhengHei" w:hAnsi="Microsoft JhengHei" w:eastAsia="Microsoft JhengHei"/>
          <w:b/>
          <w:color w:val="183B63"/>
          <w:sz w:val="38"/>
        </w:rPr>
        <w:t>訓練方案系統設計檢討與成效評估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245A81"/>
          <w:sz w:val="19"/>
        </w:rPr>
        <w:t>設計回顧、成效判定及改善紀錄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09"/>
      </w:tblGrid>
      <w:tr>
        <w:trPr>
          <w:cantSplit/>
        </w:trPr>
        <w:tc>
          <w:tcPr>
            <w:tcW w:type="dxa" w:w="1000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FF2CC"/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工作稿｜待填入實際資料或完成核定。本文不表示已核定課程、已聘任人員、已召開會議、已執行調查、已辦理訓練或已取得成效。</w:t>
            </w:r>
          </w:p>
        </w:tc>
      </w:tr>
    </w:tbl>
    <w:p>
      <w:pPr>
        <w:spacing w:after="10" w:line="168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8568"/>
      </w:tblGrid>
      <w:tr>
        <w:trPr>
          <w:tblHeader w:val="true"/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閱讀欄位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本文件用途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針對訓練方案的系統設計能適時檢討及改善，執行後有良好效果。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使用方式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以已核定的目標、方法、資源、評量和實際資料檢查系統設計；只有對照事先核定的判準及足夠原始證據後，才能判定效果。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評核先看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系統檢討架構、成效證據表、判定規則及改善閉環。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已確認資料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社團法人屏東縣原始點關懷協會；已確認方向：以健康教育及傳統整復推拿技術為核心，並保留依實際市場需求發展多元課程的空間。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尚待補入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實際核定課程方案、實際執行資料、評量工具、學員評量／回饋、缺失與改善後證據。</w:t>
            </w:r>
          </w:p>
        </w:tc>
      </w:tr>
    </w:tbl>
    <w:p>
      <w:pPr>
        <w:spacing w:after="20" w:before="0" w:line="192" w:lineRule="auto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09"/>
      </w:tblGrid>
      <w:tr>
        <w:trPr>
          <w:cantSplit/>
        </w:trPr>
        <w:tc>
          <w:tcPr>
            <w:tcW w:type="dxa" w:w="1000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DCEAF5"/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「執行後有良好效果」是待證明事項。本稿僅提供檢討與評量框架，沒有填入課程、評分、成效或改善結果。</w:t>
            </w:r>
          </w:p>
        </w:tc>
      </w:tr>
    </w:tbl>
    <w:p>
      <w:pPr>
        <w:spacing w:after="10" w:line="168" w:lineRule="auto"/>
      </w:pP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一、系統設計檢討範圍</w:t>
      </w:r>
    </w:p>
    <w:p>
      <w:pPr>
        <w:keepLines/>
      </w:pPr>
      <w:r>
        <w:rPr>
          <w:rFonts w:ascii="Microsoft JhengHei" w:hAnsi="Microsoft JhengHei"/>
          <w:b/>
          <w:color w:val="1F4E79"/>
          <w:sz w:val="20"/>
        </w:rPr>
        <w:t>流程表示（待核定／依實際資料填記）</w:t>
      </w:r>
    </w:p>
    <w:p>
      <w:pPr>
        <w:keepLines/>
      </w:pPr>
      <w:r>
        <w:rPr>
          <w:rFonts w:ascii="Microsoft JhengHei" w:hAnsi="Microsoft JhengHei"/>
          <w:b w:val="0"/>
          <w:sz w:val="20"/>
        </w:rPr>
        <w:t>系統設計成效檢討流程：核定設計目標與判準 → 對照執行資料及分母 → 檢查差異、缺值與限制 → 判讀需求／設計／執行／追蹤原因 → 指定改善責任與期限 → 同口徑再驗證。資料不足時列待查，不下成效結論。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4536"/>
        <w:gridCol w:w="3888"/>
      </w:tblGrid>
      <w:tr>
        <w:trPr>
          <w:tblHeader w:val="true"/>
          <w:cantSplit/>
        </w:trPr>
        <w:tc>
          <w:tcPr>
            <w:tcW w:type="dxa" w:w="18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系統環節</w:t>
            </w:r>
          </w:p>
        </w:tc>
        <w:tc>
          <w:tcPr>
            <w:tcW w:type="dxa" w:w="453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檢討問題</w:t>
            </w:r>
          </w:p>
        </w:tc>
        <w:tc>
          <w:tcPr>
            <w:tcW w:type="dxa" w:w="388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依據與證據定位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需求與目標</w:t>
            </w:r>
          </w:p>
        </w:tc>
        <w:tc>
          <w:tcPr>
            <w:tcW w:type="dxa" w:w="453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需求來源是否可靠；目標是否回應差距並可觀察？</w:t>
            </w:r>
          </w:p>
        </w:tc>
        <w:tc>
          <w:tcPr>
            <w:tcW w:type="dxa" w:w="388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[問卷／訪談、分析、目標版次]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課程及方法</w:t>
            </w:r>
          </w:p>
        </w:tc>
        <w:tc>
          <w:tcPr>
            <w:tcW w:type="dxa" w:w="453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單元、方法、時程、教材是否支援目標？</w:t>
            </w:r>
          </w:p>
        </w:tc>
        <w:tc>
          <w:tcPr>
            <w:tcW w:type="dxa" w:w="388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[核定課程方案、教案及教材]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師資與對象</w:t>
            </w:r>
          </w:p>
        </w:tc>
        <w:tc>
          <w:tcPr>
            <w:tcW w:type="dxa" w:w="453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師資條件、學員條件及學習支持是否合適？</w:t>
            </w:r>
          </w:p>
        </w:tc>
        <w:tc>
          <w:tcPr>
            <w:tcW w:type="dxa" w:w="388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[實際資格核驗及遴選資料]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資源及安全</w:t>
            </w:r>
          </w:p>
        </w:tc>
        <w:tc>
          <w:tcPr>
            <w:tcW w:type="dxa" w:w="453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場地、設備、資料管理與安全控制是否可用？</w:t>
            </w:r>
          </w:p>
        </w:tc>
        <w:tc>
          <w:tcPr>
            <w:tcW w:type="dxa" w:w="388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[實際檢核及異常處理紀錄]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評量與資料</w:t>
            </w:r>
          </w:p>
        </w:tc>
        <w:tc>
          <w:tcPr>
            <w:tcW w:type="dxa" w:w="453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評量能否對應目標；資料是否完整、可追溯？</w:t>
            </w:r>
          </w:p>
        </w:tc>
        <w:tc>
          <w:tcPr>
            <w:tcW w:type="dxa" w:w="388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[工具、分母分子、原始資料及複核]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改善與追蹤</w:t>
            </w:r>
          </w:p>
        </w:tc>
        <w:tc>
          <w:tcPr>
            <w:tcW w:type="dxa" w:w="453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是否依證據決定改善並在後續確認？</w:t>
            </w:r>
          </w:p>
        </w:tc>
        <w:tc>
          <w:tcPr>
            <w:tcW w:type="dxa" w:w="388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[決議、變更版次、後續追蹤資料]</w:t>
            </w:r>
          </w:p>
        </w:tc>
      </w:tr>
    </w:tbl>
    <w:p>
      <w:pPr>
        <w:spacing w:after="20" w:before="0" w:line="192" w:lineRule="auto"/>
      </w:pP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二、成效判定原則</w:t>
      </w:r>
    </w:p>
    <w:p>
      <w:pPr>
        <w:pStyle w:val="ListBullet"/>
        <w:keepLines/>
        <w:spacing w:after="30" w:line="247" w:lineRule="auto"/>
        <w:ind w:left="331" w:hanging="173"/>
      </w:pPr>
      <w:r>
        <w:rPr>
          <w:rFonts w:ascii="Microsoft JhengHei" w:hAnsi="Microsoft JhengHei" w:eastAsia="Microsoft JhengHei"/>
          <w:b w:val="0"/>
          <w:color w:val="24364B"/>
          <w:sz w:val="19"/>
        </w:rPr>
        <w:t>先核定目標、衡量方法、資料來源、納入條件及接受判準，再蒐集成效資料。</w:t>
      </w:r>
    </w:p>
    <w:p>
      <w:pPr>
        <w:pStyle w:val="ListBullet"/>
        <w:keepLines/>
        <w:spacing w:after="30" w:line="247" w:lineRule="auto"/>
        <w:ind w:left="331" w:hanging="173"/>
      </w:pPr>
      <w:r>
        <w:rPr>
          <w:rFonts w:ascii="Microsoft JhengHei" w:hAnsi="Microsoft JhengHei" w:eastAsia="Microsoft JhengHei"/>
          <w:b w:val="0"/>
          <w:color w:val="24364B"/>
          <w:sz w:val="19"/>
        </w:rPr>
        <w:t>區分投入、課程完成、學習評量、工作應用及其他後續結果，不以滿意度或單一個案推定全面成效。</w:t>
      </w:r>
    </w:p>
    <w:p>
      <w:pPr>
        <w:pStyle w:val="ListBullet"/>
        <w:keepLines/>
        <w:spacing w:after="30" w:line="247" w:lineRule="auto"/>
        <w:ind w:left="331" w:hanging="173"/>
      </w:pPr>
      <w:r>
        <w:rPr>
          <w:rFonts w:ascii="Microsoft JhengHei" w:hAnsi="Microsoft JhengHei" w:eastAsia="Microsoft JhengHei"/>
          <w:b w:val="0"/>
          <w:color w:val="24364B"/>
          <w:sz w:val="19"/>
        </w:rPr>
        <w:t>說明分母、缺失、配對方式、工具限制及可能偏差；不得只呈現有利結果。</w:t>
      </w:r>
    </w:p>
    <w:p>
      <w:pPr>
        <w:pStyle w:val="ListBullet"/>
        <w:keepLines/>
        <w:spacing w:after="30" w:line="247" w:lineRule="auto"/>
        <w:ind w:left="331" w:hanging="173"/>
      </w:pPr>
      <w:r>
        <w:rPr>
          <w:rFonts w:ascii="Microsoft JhengHei" w:hAnsi="Microsoft JhengHei" w:eastAsia="Microsoft JhengHei"/>
          <w:b w:val="0"/>
          <w:color w:val="24364B"/>
          <w:sz w:val="19"/>
        </w:rPr>
        <w:t>若樣本或證據不足，結論列待補或限制，不以「良好」代替資料。</w:t>
      </w:r>
    </w:p>
    <w:p>
      <w:pPr>
        <w:pStyle w:val="ListBullet"/>
        <w:keepLines/>
        <w:spacing w:after="30" w:line="247" w:lineRule="auto"/>
        <w:ind w:left="331" w:hanging="173"/>
      </w:pPr>
      <w:r>
        <w:rPr>
          <w:rFonts w:ascii="Microsoft JhengHei" w:hAnsi="Microsoft JhengHei" w:eastAsia="Microsoft JhengHei"/>
          <w:b w:val="0"/>
          <w:color w:val="24364B"/>
          <w:sz w:val="19"/>
        </w:rPr>
        <w:t>健康教育與傳統整復推拿訓練只評估學習目標與安全界線，不據此推論醫療效果。</w:t>
      </w: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三、系統設計檢討與效果證據表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3096"/>
        <w:gridCol w:w="2520"/>
        <w:gridCol w:w="2520"/>
      </w:tblGrid>
      <w:tr>
        <w:trPr>
          <w:tblHeader w:val="true"/>
          <w:cantSplit/>
        </w:trPr>
        <w:tc>
          <w:tcPr>
            <w:tcW w:type="dxa" w:w="208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目標／判準</w:t>
            </w:r>
          </w:p>
        </w:tc>
        <w:tc>
          <w:tcPr>
            <w:tcW w:type="dxa" w:w="309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設計及實際資料來源</w:t>
            </w:r>
          </w:p>
        </w:tc>
        <w:tc>
          <w:tcPr>
            <w:tcW w:type="dxa" w:w="25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分析方式</w:t>
            </w:r>
          </w:p>
        </w:tc>
        <w:tc>
          <w:tcPr>
            <w:tcW w:type="dxa" w:w="25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結果與限制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[核定目標]</w:t>
            </w:r>
          </w:p>
        </w:tc>
        <w:tc>
          <w:tcPr>
            <w:tcW w:type="dxa" w:w="309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[工具版次、執行紀錄及原始檔位置]</w:t>
            </w:r>
          </w:p>
        </w:tc>
        <w:tc>
          <w:tcPr>
            <w:tcW w:type="dxa" w:w="25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[事前核定公式／判讀方式]</w:t>
            </w:r>
          </w:p>
        </w:tc>
        <w:tc>
          <w:tcPr>
            <w:tcW w:type="dxa" w:w="25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[待實際資料；含分母與限制]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[核定目標]</w:t>
            </w:r>
          </w:p>
        </w:tc>
        <w:tc>
          <w:tcPr>
            <w:tcW w:type="dxa" w:w="309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[工具版次、執行紀錄及原始檔位置]</w:t>
            </w:r>
          </w:p>
        </w:tc>
        <w:tc>
          <w:tcPr>
            <w:tcW w:type="dxa" w:w="25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[事前核定公式／判讀方式]</w:t>
            </w:r>
          </w:p>
        </w:tc>
        <w:tc>
          <w:tcPr>
            <w:tcW w:type="dxa" w:w="25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[待實際資料；含分母與限制]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[核定目標]</w:t>
            </w:r>
          </w:p>
        </w:tc>
        <w:tc>
          <w:tcPr>
            <w:tcW w:type="dxa" w:w="309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[工具版次、執行紀錄及原始檔位置]</w:t>
            </w:r>
          </w:p>
        </w:tc>
        <w:tc>
          <w:tcPr>
            <w:tcW w:type="dxa" w:w="25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[事前核定公式／判讀方式]</w:t>
            </w:r>
          </w:p>
        </w:tc>
        <w:tc>
          <w:tcPr>
            <w:tcW w:type="dxa" w:w="25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[待實際資料；含分母與限制]</w:t>
            </w:r>
          </w:p>
        </w:tc>
      </w:tr>
    </w:tbl>
    <w:p>
      <w:pPr>
        <w:spacing w:after="20" w:before="0" w:line="192" w:lineRule="auto"/>
      </w:pP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四、檢討決議與成效結論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0"/>
        <w:gridCol w:w="6912"/>
      </w:tblGrid>
      <w:tr>
        <w:trPr>
          <w:tblHeader w:val="true"/>
          <w:cantSplit/>
        </w:trPr>
        <w:tc>
          <w:tcPr>
            <w:tcW w:type="dxa" w:w="32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69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填寫內容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設計版本、執行範圍與期間</w:t>
            </w:r>
          </w:p>
        </w:tc>
        <w:tc>
          <w:tcPr>
            <w:tcW w:type="dxa" w:w="69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[待補；對照正式核定與實際執行資料]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符合／未符合／無法判定的項目</w:t>
            </w:r>
          </w:p>
        </w:tc>
        <w:tc>
          <w:tcPr>
            <w:tcW w:type="dxa" w:w="69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[逐項列判準、證據、樣本及結論理由]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成效結論與限制</w:t>
            </w:r>
          </w:p>
        </w:tc>
        <w:tc>
          <w:tcPr>
            <w:tcW w:type="dxa" w:w="69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[待完成分析後填寫；不預先標示良好]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改善決策、責任功能與期限</w:t>
            </w:r>
          </w:p>
        </w:tc>
        <w:tc>
          <w:tcPr>
            <w:tcW w:type="dxa" w:w="69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[待審查／核定]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下次檢討條件及附件索引</w:t>
            </w:r>
          </w:p>
        </w:tc>
        <w:tc>
          <w:tcPr>
            <w:tcW w:type="dxa" w:w="69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[待補；確保可追溯至原始證據]</w:t>
            </w:r>
          </w:p>
        </w:tc>
      </w:tr>
    </w:tbl>
    <w:p>
      <w:pPr>
        <w:spacing w:after="20" w:before="0" w:line="192" w:lineRule="auto"/>
      </w:pPr>
    </w:p>
    <w:p>
      <w:pPr>
        <w:pStyle w:val="Heading2"/>
        <w:keepNext/>
        <w:keepLines/>
        <w:spacing w:before="80" w:after="50"/>
      </w:pPr>
      <w:r>
        <w:rPr>
          <w:rFonts w:ascii="Microsoft JhengHei" w:hAnsi="Microsoft JhengHei" w:eastAsia="Microsoft JhengHei"/>
          <w:b/>
          <w:color w:val="245A81"/>
          <w:sz w:val="22"/>
        </w:rPr>
        <w:t>依據與使用界線</w:t>
      </w: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18"/>
        </w:rPr>
        <w:t>對應查核項目：針對訓練方案的系統設計能適時檢討及改善，執行後有良好效果。</w:t>
      </w: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17"/>
        </w:rPr>
        <w:t>來源：TTQS 人才發展品質管理系統「查核佐證文件資料表－訓練機構版」，第 2–3 頁。官方文字作為文件範圍依據；本稿中的流程、欄位及方法均為可供協會審議修訂的工作設計，不證明本會已採行。</w:t>
      </w: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17"/>
        </w:rPr>
        <w:t>健康教育及傳統整復推拿相關內容限於訓練與非醫療健康教育範圍；不得以本稿宣稱診斷、治療、療效或實際訓練成果。</w:t>
      </w:r>
    </w:p>
    <w:p>
      <w:pPr>
        <w:pStyle w:val="Heading1"/>
        <w:keepNext/>
      </w:pPr>
      <w:r>
        <w:rPr>
          <w:rFonts w:ascii="Microsoft JhengHei" w:hAnsi="Microsoft JhengHei" w:eastAsia="Microsoft JhengHei" w:cs="Microsoft JhengHei"/>
          <w:b/>
          <w:color w:val="1F4E78"/>
          <w:sz w:val="28"/>
        </w:rPr>
        <w:t>五、效果分析公式、判定規則與改善驗證</w:t>
      </w:r>
    </w:p>
    <w:p>
      <w:pPr>
        <w:spacing w:before="40" w:after="100"/>
      </w:pPr>
      <w:r>
        <w:rPr>
          <w:rFonts w:ascii="Microsoft JhengHei" w:hAnsi="Microsoft JhengHei" w:eastAsia="Microsoft JhengHei" w:cs="Microsoft JhengHei"/>
          <w:b w:val="0"/>
          <w:color w:val="404040"/>
          <w:sz w:val="18"/>
        </w:rPr>
        <w:t>「執行後有良好效果」是需由實際資料支持的結論。本工具不預填成果；成效標準要在執行前核定。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668"/>
        <w:gridCol w:w="1668"/>
        <w:gridCol w:w="1668"/>
        <w:gridCol w:w="1668"/>
        <w:gridCol w:w="1668"/>
        <w:gridCol w:w="1668"/>
      </w:tblGrid>
      <w:tr>
        <w:trPr>
          <w:tblHeader w:val="true"/>
        </w:trPr>
        <w:tc>
          <w:tcPr>
            <w:tcW w:type="dxa" w:w="1668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目標／指標</w:t>
            </w:r>
          </w:p>
        </w:tc>
        <w:tc>
          <w:tcPr>
            <w:tcW w:type="dxa" w:w="1668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基準／目標／接受判準</w:t>
            </w:r>
          </w:p>
        </w:tc>
        <w:tc>
          <w:tcPr>
            <w:tcW w:type="dxa" w:w="1668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實際值／分子分母</w:t>
            </w:r>
          </w:p>
        </w:tc>
        <w:tc>
          <w:tcPr>
            <w:tcW w:type="dxa" w:w="1668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差距及原因階段</w:t>
            </w:r>
          </w:p>
        </w:tc>
        <w:tc>
          <w:tcPr>
            <w:tcW w:type="dxa" w:w="1668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限制／結論</w:t>
            </w:r>
          </w:p>
        </w:tc>
        <w:tc>
          <w:tcPr>
            <w:tcW w:type="dxa" w:w="1668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改善／責任／再驗證</w:t>
            </w:r>
          </w:p>
        </w:tc>
      </w:tr>
      <w:tr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學習目標達成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[事前核定工具與門檻]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[待實際資料]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[需求／設計／執行／追蹤]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[待分析]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[待審議]</w:t>
            </w:r>
          </w:p>
        </w:tc>
      </w:tr>
      <w:tr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任務應用追蹤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[期間、對象及核定判準]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[待實際追蹤]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[待分析]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[自陳與佐證分開]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[待審議]</w:t>
            </w:r>
          </w:p>
        </w:tc>
      </w:tr>
      <w:tr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系統設計適切性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[檢核項目與核定門檻]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[有證據的項數／應檢數]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[待分析]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[樣本與資料限制]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[待審議]</w:t>
            </w:r>
          </w:p>
        </w:tc>
      </w:tr>
    </w:tbl>
    <w:p>
      <w:pPr>
        <w:spacing w:before="40" w:after="100"/>
      </w:pPr>
      <w:r>
        <w:rPr>
          <w:rFonts w:ascii="Microsoft JhengHei" w:hAnsi="Microsoft JhengHei" w:eastAsia="Microsoft JhengHei" w:cs="Microsoft JhengHei"/>
          <w:b w:val="0"/>
          <w:color w:val="404040"/>
          <w:sz w:val="18"/>
        </w:rPr>
        <w:t>差距＝實績－事前核定目標。達成率＝達標且具有效證據的數量 ÷ 有效評估數量；需列缺考、未追蹤及無效紀錄。不同年度或版本不可直接比較時，說明工具與母體差異。沒有對照或足夠資料時，不宣稱因果或全面效果。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02"/>
        <w:gridCol w:w="2002"/>
        <w:gridCol w:w="2002"/>
        <w:gridCol w:w="2002"/>
        <w:gridCol w:w="2002"/>
      </w:tblGrid>
      <w:tr>
        <w:trPr>
          <w:tblHeader w:val="true"/>
        </w:trPr>
        <w:tc>
          <w:tcPr>
            <w:tcW w:type="dxa" w:w="20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問題／改善來源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可驗證改變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責任／期限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下次資料與比較方式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結案覆核</w:t>
            </w:r>
          </w:p>
        </w:tc>
      </w:tr>
      <w:tr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[原始發現ID]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[課程／流程／工具變更]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[待核定]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[同口徑的後續資料]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</w:tr>
      <w:tr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[待核定]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</w:tr>
    </w:tbl>
    <w:p>
      <w:pPr>
        <w:pStyle w:val="Heading2"/>
        <w:keepNext/>
        <w:pageBreakBefore/>
      </w:pPr>
      <w:r>
        <w:t>真實資料升格前核對清單</w:t>
      </w:r>
    </w:p>
    <w:p>
      <w:pPr>
        <w:keepNext/>
        <w:spacing w:after="80"/>
      </w:pPr>
      <w:r>
        <w:t>逐項以原始資料及核定紀錄核對；未取得資料時勾選「待補」並保留工作稿狀態。本清單不表示事項已發生。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tblHeader w:val="true"/>
          <w:cantSplit/>
        </w:trPr>
        <w:tc>
          <w:tcPr>
            <w:tcW w:type="dxa" w:w="3336"/>
            <w:shd w:fill="1F4E78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核對項目</w:t>
            </w:r>
          </w:p>
        </w:tc>
        <w:tc>
          <w:tcPr>
            <w:tcW w:type="dxa" w:w="3336"/>
            <w:shd w:fill="1F4E78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應回查資料／通過條件</w:t>
            </w:r>
          </w:p>
        </w:tc>
        <w:tc>
          <w:tcPr>
            <w:tcW w:type="dxa" w:w="3336"/>
            <w:shd w:fill="1F4E78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狀態／責任／證據位置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系統設計版本與目標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實際受檢課程／方案、版次、目標及核定來源可辨識。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□符合 □待補 □不適用；方案／決議ID：[待填]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執行資料與分母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工具、時點、樣本、有效數、缺失及原始證據可回查；不得把空白模板當實績。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□符合 □待補 □不適用；原件／分母表：[待填]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差距與原因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逐項區分需求、設計、執行、追蹤或資料限制；結果只及於資料支持範圍。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□符合 □待補 □不適用；分析表：[待填]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改善決定與責任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記錄採納／未採納理由、責任功能、期限、核定與資源安排。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□符合 □待補 □不適用；決議／追蹤：[待填]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改善效果驗證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設定同口徑下一次資料、指標與判定條件；未取得後續資料前不稱改善有效。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□符合 □待補 □不適用；再驗證來源：[待填]</w:t>
            </w:r>
          </w:p>
        </w:tc>
      </w:tr>
    </w:tbl>
    <w:p>
      <w:pPr>
        <w:pStyle w:val="Heading2"/>
        <w:keepNext/>
      </w:pPr>
      <w:r>
        <w:t>覆核與待辦追蹤（實際完成後填寫）</w:t>
      </w:r>
    </w:p>
    <w:p>
      <w:pPr>
        <w:keepNext/>
        <w:spacing w:after="80"/>
      </w:pPr>
      <w:r>
        <w:t>本欄只記錄實際核對、審議或執行後可回查的事項；尚未完成時保留待填，不代表已核定或已發生。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tblHeader w:val="true"/>
        </w:trPr>
        <w:tc>
          <w:tcPr>
            <w:tcW w:type="dxa" w:w="3336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覆核欄位</w:t>
            </w:r>
          </w:p>
        </w:tc>
        <w:tc>
          <w:tcPr>
            <w:tcW w:type="dxa" w:w="3336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填寫／判讀規則</w:t>
            </w:r>
          </w:p>
        </w:tc>
        <w:tc>
          <w:tcPr>
            <w:tcW w:type="dxa" w:w="3336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紀錄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實際設計版本、目標及範圍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填寫實際方案版次、目標、範圍及核定依據。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[待填／待核定；附證據路徑]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評量工具、基準與資料分母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核對評量工具、基準、有效分母、缺值及原始證據。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[待填／待核定；附證據路徑]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成效限制及未判定項目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分開記錄已證實、待補與無法判定的效果，不以滿意度代替成效。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[待填／待核定；附證據路徑]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改善責任、期限與下一期回驗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記錄改善決議、責任功能、期限及下一次同口徑驗證來源。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[待填／待核定；附證據路徑]</w:t>
            </w:r>
          </w:p>
        </w:tc>
      </w:tr>
    </w:tbl>
    <w:p>
      <w:pPr>
        <w:spacing w:after="80"/>
      </w:pPr>
      <w:r>
        <w:t>以下為可直接使用的補充工作表。只填入可回查來源或實際紀錄；尚未取得或核定的內容維持待補。</w:t>
      </w:r>
    </w:p>
    <w:p>
      <w:pPr>
        <w:pStyle w:val="Heading2"/>
      </w:pPr>
      <w:r>
        <w:t>需求—職能—目標—單元—教法—評量—證據矩陣</w:t>
      </w:r>
    </w:p>
    <w:p>
      <w:pPr>
        <w:spacing w:after="80"/>
      </w:pPr>
      <w:r>
        <w:t>以需求 ID 串接課程設計、評量和證據；來源或核定資料未取得時維持待補。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30"/>
        <w:gridCol w:w="1430"/>
        <w:gridCol w:w="1430"/>
        <w:gridCol w:w="1430"/>
        <w:gridCol w:w="1430"/>
        <w:gridCol w:w="1430"/>
        <w:gridCol w:w="1430"/>
      </w:tblGrid>
      <w:tr>
        <w:trPr>
          <w:tblHeader w:val="true"/>
        </w:trPr>
        <w:tc>
          <w:tcPr>
            <w:tcW w:type="dxa" w:w="1430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需求來源／ID</w:t>
            </w:r>
          </w:p>
        </w:tc>
        <w:tc>
          <w:tcPr>
            <w:tcW w:type="dxa" w:w="1430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職能／指標</w:t>
            </w:r>
          </w:p>
        </w:tc>
        <w:tc>
          <w:tcPr>
            <w:tcW w:type="dxa" w:w="1430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目標／ID</w:t>
            </w:r>
          </w:p>
        </w:tc>
        <w:tc>
          <w:tcPr>
            <w:tcW w:type="dxa" w:w="1430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單元／順序</w:t>
            </w:r>
          </w:p>
        </w:tc>
        <w:tc>
          <w:tcPr>
            <w:tcW w:type="dxa" w:w="1430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教法／教材</w:t>
            </w:r>
          </w:p>
        </w:tc>
        <w:tc>
          <w:tcPr>
            <w:tcW w:type="dxa" w:w="1430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評量／判準</w:t>
            </w:r>
          </w:p>
        </w:tc>
        <w:tc>
          <w:tcPr>
            <w:tcW w:type="dxa" w:w="1430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證據／位置</w:t>
            </w:r>
          </w:p>
        </w:tc>
      </w:tr>
      <w:tr>
        <w:trPr>
          <w:cantSplit/>
        </w:trPr>
        <w:tc>
          <w:tcPr>
            <w:tcW w:type="dxa" w:w="1430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[需求來源／對象待補]</w:t>
            </w:r>
          </w:p>
        </w:tc>
        <w:tc>
          <w:tcPr>
            <w:tcW w:type="dxa" w:w="1430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[職能／行為指標待核定]</w:t>
            </w:r>
          </w:p>
        </w:tc>
        <w:tc>
          <w:tcPr>
            <w:tcW w:type="dxa" w:w="1430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[目標ID與可觀察結果待核定]</w:t>
            </w:r>
          </w:p>
        </w:tc>
        <w:tc>
          <w:tcPr>
            <w:tcW w:type="dxa" w:w="1430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[單元名稱／順序待填]</w:t>
            </w:r>
          </w:p>
        </w:tc>
        <w:tc>
          <w:tcPr>
            <w:tcW w:type="dxa" w:w="1430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[教學活動／教材待填]</w:t>
            </w:r>
          </w:p>
        </w:tc>
        <w:tc>
          <w:tcPr>
            <w:tcW w:type="dxa" w:w="1430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[評量工具／判準待核定]</w:t>
            </w:r>
          </w:p>
        </w:tc>
        <w:tc>
          <w:tcPr>
            <w:tcW w:type="dxa" w:w="1430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[實施後填證據名稱、日期、路徑]</w:t>
            </w:r>
          </w:p>
        </w:tc>
      </w:tr>
      <w:tr>
        <w:trPr>
          <w:cantSplit/>
        </w:trPr>
        <w:tc>
          <w:tcPr>
            <w:tcW w:type="dxa" w:w="1430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[需求來源／對象待補]</w:t>
            </w:r>
          </w:p>
        </w:tc>
        <w:tc>
          <w:tcPr>
            <w:tcW w:type="dxa" w:w="1430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[職能／行為指標待核定]</w:t>
            </w:r>
          </w:p>
        </w:tc>
        <w:tc>
          <w:tcPr>
            <w:tcW w:type="dxa" w:w="1430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[目標ID與可觀察結果待核定]</w:t>
            </w:r>
          </w:p>
        </w:tc>
        <w:tc>
          <w:tcPr>
            <w:tcW w:type="dxa" w:w="1430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[單元名稱／順序待填]</w:t>
            </w:r>
          </w:p>
        </w:tc>
        <w:tc>
          <w:tcPr>
            <w:tcW w:type="dxa" w:w="1430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[教學活動／教材待填]</w:t>
            </w:r>
          </w:p>
        </w:tc>
        <w:tc>
          <w:tcPr>
            <w:tcW w:type="dxa" w:w="1430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[評量工具／判準待核定]</w:t>
            </w:r>
          </w:p>
        </w:tc>
        <w:tc>
          <w:tcPr>
            <w:tcW w:type="dxa" w:w="1430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[實施後填證據名稱、日期、路徑]</w:t>
            </w:r>
          </w:p>
        </w:tc>
      </w:tr>
    </w:tbl>
    <w:p>
      <w:pPr>
        <w:pStyle w:val="Heading2"/>
      </w:pPr>
      <w:r>
        <w:t>課程單元時程表</w:t>
      </w:r>
    </w:p>
    <w:p>
      <w:pPr>
        <w:spacing w:after="80"/>
      </w:pPr>
      <w:r>
        <w:t>核定前標示待核定；實施後填實際日期、時數與查核資料。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668"/>
        <w:gridCol w:w="1668"/>
        <w:gridCol w:w="1668"/>
        <w:gridCol w:w="1668"/>
        <w:gridCol w:w="1668"/>
        <w:gridCol w:w="1668"/>
      </w:tblGrid>
      <w:tr>
        <w:trPr>
          <w:tblHeader w:val="true"/>
        </w:trPr>
        <w:tc>
          <w:tcPr>
            <w:tcW w:type="dxa" w:w="1668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單元／順序</w:t>
            </w:r>
          </w:p>
        </w:tc>
        <w:tc>
          <w:tcPr>
            <w:tcW w:type="dxa" w:w="1668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日期／時段</w:t>
            </w:r>
          </w:p>
        </w:tc>
        <w:tc>
          <w:tcPr>
            <w:tcW w:type="dxa" w:w="1668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時數</w:t>
            </w:r>
          </w:p>
        </w:tc>
        <w:tc>
          <w:tcPr>
            <w:tcW w:type="dxa" w:w="1668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目標與內容</w:t>
            </w:r>
          </w:p>
        </w:tc>
        <w:tc>
          <w:tcPr>
            <w:tcW w:type="dxa" w:w="1668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教法／教材／場地</w:t>
            </w:r>
          </w:p>
        </w:tc>
        <w:tc>
          <w:tcPr>
            <w:tcW w:type="dxa" w:w="1668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評量／判準／證據</w:t>
            </w:r>
          </w:p>
        </w:tc>
      </w:tr>
      <w:tr>
        <w:trPr>
          <w:cantSplit/>
        </w:trPr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[單元／順序待填]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[日期／時段待核定]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[時數待核定]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[目標與內容待填]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[教法、教材、場地待填]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[評量、判準與證據待核定]</w:t>
            </w:r>
          </w:p>
        </w:tc>
      </w:tr>
      <w:tr>
        <w:trPr>
          <w:cantSplit/>
        </w:trPr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[單元／順序待填]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[日期／時段待核定]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[時數待核定]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[目標與內容待填]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[教法、教材、場地待填]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[評量、判準與證據待核定]</w:t>
            </w:r>
          </w:p>
        </w:tc>
      </w:tr>
    </w:tbl>
    <w:p>
      <w:pPr>
        <w:pStyle w:val="Heading2"/>
      </w:pPr>
      <w:r>
        <w:t>I08-E02 訓練方案設計審查追溯表</w:t>
      </w:r>
    </w:p>
    <w:p>
      <w:pPr>
        <w:spacing w:after="80"/>
      </w:pPr>
      <w:r>
        <w:t>記錄設計審查要求、依據、審查結果、決議及需補證據。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668"/>
        <w:gridCol w:w="1668"/>
        <w:gridCol w:w="1668"/>
        <w:gridCol w:w="1668"/>
        <w:gridCol w:w="1668"/>
        <w:gridCol w:w="1668"/>
      </w:tblGrid>
      <w:tr>
        <w:trPr>
          <w:tblHeader w:val="true"/>
        </w:trPr>
        <w:tc>
          <w:tcPr>
            <w:tcW w:type="dxa" w:w="1668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審查面向</w:t>
            </w:r>
          </w:p>
        </w:tc>
        <w:tc>
          <w:tcPr>
            <w:tcW w:type="dxa" w:w="1668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來源／版本</w:t>
            </w:r>
          </w:p>
        </w:tc>
        <w:tc>
          <w:tcPr>
            <w:tcW w:type="dxa" w:w="1668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設計內容／判準</w:t>
            </w:r>
          </w:p>
        </w:tc>
        <w:tc>
          <w:tcPr>
            <w:tcW w:type="dxa" w:w="1668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審查結果／限制</w:t>
            </w:r>
          </w:p>
        </w:tc>
        <w:tc>
          <w:tcPr>
            <w:tcW w:type="dxa" w:w="1668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決議／待補事項</w:t>
            </w:r>
          </w:p>
        </w:tc>
        <w:tc>
          <w:tcPr>
            <w:tcW w:type="dxa" w:w="1668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責任／期限／證據</w:t>
            </w:r>
          </w:p>
        </w:tc>
      </w:tr>
      <w:tr>
        <w:trPr>
          <w:cantSplit/>
        </w:trPr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需求與課程目標的一致性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[原始來源／版本待填]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[欄位、指標或判斷規則待填]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[待補／待核定／不適用及理由]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[證據名稱與路徑待填]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[覆核人、日期與處置待填]</w:t>
            </w:r>
          </w:p>
        </w:tc>
      </w:tr>
      <w:tr>
        <w:trPr>
          <w:cantSplit/>
        </w:trPr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單元、教材及教學方法配置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[原始來源／版本待填]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[欄位、指標或判斷規則待填]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[待補／待核定／不適用及理由]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[證據名稱與路徑待填]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[覆核人、日期與處置待填]</w:t>
            </w:r>
          </w:p>
        </w:tc>
      </w:tr>
      <w:tr>
        <w:trPr>
          <w:cantSplit/>
        </w:trPr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時數、時程、場地與資源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[原始來源／版本待填]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[欄位、指標或判斷規則待填]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[待補／待核定／不適用及理由]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[證據名稱與路徑待填]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[覆核人、日期與處置待填]</w:t>
            </w:r>
          </w:p>
        </w:tc>
      </w:tr>
      <w:tr>
        <w:trPr>
          <w:cantSplit/>
        </w:trPr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評量工具、時點及達成判準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[原始來源／版本待填]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[欄位、指標或判斷規則待填]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[待補／待核定／不適用及理由]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[證據名稱與路徑待填]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[覆核人、日期與處置待填]</w:t>
            </w:r>
          </w:p>
        </w:tc>
      </w:tr>
      <w:tr>
        <w:trPr>
          <w:cantSplit/>
        </w:trPr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實施後回饋與改善驗證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[原始來源／版本待填]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[欄位、指標或判斷規則待填]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[待補／待核定／不適用及理由]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[證據名稱與路徑待填]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[覆核人、日期與處置待填]</w:t>
            </w:r>
          </w:p>
        </w:tc>
      </w:tr>
    </w:tbl>
    <w:p>
      <w:pPr>
        <w:spacing w:before="80" w:after="0"/>
      </w:pPr>
      <w:r>
        <w:t>真實性界線：本補充表目前是空白工作表。日期、核定、會議、執行、評量、結果及成果均須依原始資料填入；未填不代表事項已發生。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待實際資料或核定後更新｜第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9" w:lineRule="auto"/>
    </w:pPr>
    <w:rPr>
      <w:rFonts w:ascii="Microsoft JhengHei" w:hAnsi="Microsoft JhengHei" w:eastAsia="Microsoft JhengHei"/>
      <w:color w:val="24364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訓練方案系統設計檢討與成效評估</dc:title>
  <dc:subject>針對訓練方案的系統設計能適時檢討及改善，執行後有良好效果。</dc:subject>
  <dc:creator>社團法人屏東縣原始點關懷協會</dc:creator>
  <cp:keywords>TTQS; 工作稿; 待核定; 待原始資料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