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會議實際發生與出席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日期、方式、出席角色、利益關係及授權可由原始簽到或記錄回查；未召開前保持空白。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□不適用；簽到／紀錄：[待填]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前置資料及課程版次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議程、需求、課程方案、時程及評量工具均記錄名稱與版本。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□不適用；會前資料索引：[待填]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討論、異議與決議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保留各角色意見、異議、採納／未採納理由、核定權限及未決事項。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責任、期限及追蹤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每項決議指定責任功能、期限、完成條件及下次驗證；不得預填出席或決議。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簽認、附件及保存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核准、簽認、附件索引、保存位置與版本核對完整且能回查。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□不適用；簽核／索引：[待填]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I08-E03 課程方案會議檢討追溯表</w:t>
      </w:r>
    </w:p>
    <w:p>
      <w:pPr>
        <w:spacing w:after="80"/>
      </w:pPr>
      <w:r>
        <w:t>實際會議時記錄資料版本、意見、異議、決議及執行追蹤；本表不表示會議已召開。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議題／查核項目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會前資料／版本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意見／異議摘要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決議／未採納理由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責任人／期限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驗證及證據位置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需求與目標設定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單元、時程及教材安排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教法、評量及安全措施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資源、限制及例外處理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後續追蹤及成效驗證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