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本文件規範擬開設或變更課程的提供方式選擇，適用於實體、同步／非同步線上及混成方式；須兼顧目標、對象、評量、安全及必要資源。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spacing w:after="120"/>
      </w:pPr>
      <w:r>
        <w:t>角色權責（功能分工；實際人員與授權待核定）：課程規劃功能提出目標—方式對照；專業／授課功能檢視教學與評量可行性；安全／行政功能核實師資、場地、設備、個資與通知；依章程授權的核定功能決定並核版；文件管理功能保存選擇及變更紀錄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五、提供方式選擇規則、例外與版本管理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按學習目標選擇方式。若方式不能達成目標、實作安全無法監督或必要資源不可用，不得以方便或成本作唯一理由；改案或暫停並留下判斷。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候選方式與必要條件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證據／風險檢查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選擇及排除理由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核准功能／版本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[實體／同步／非同步／混成；逐目標判斷]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[師資、場地、器材、網路、無障礙、安全]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[待實際比較]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判斷節點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不符合時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每個目標均能以所選方式教學與評量？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進入資源檢核。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重選方式或修改方案，不直接核定。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目標—方式對照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需實作的風險、師資、設備與停止條件已確認？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進入審查核定。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暫停安排，補足控制後再審。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安全檢核與待辦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版本、學員條件及對外資訊一致？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退回修訂；不得發布不一致資訊。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核定版及發布紀錄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例外／變更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覆核／核准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公告與保存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師資、場地、設備或學員條件改變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評估對目標、安全、出席及評量的影響；必要時停課或調整。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[依授權規則待核定]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保存變更原因、通知、同意及版次。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方式未能支援目標或評量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不得以出席或滿意度替代學習證據。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重審目標—工具—證據連結。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應檢項數。週期、核准功能及對外管道須由協會核定。追溯：官方要求「訓練的提供方式及選擇的指標」→ 方式比較及檢核 → 逐課程決定紀錄 → 核定版本／證據位置／覆核：[待填]。</w:t>
      </w:r>
    </w:p>
    <w:p>
      <w:pPr>
        <w:pStyle w:val="Heading2"/>
      </w:pPr>
      <w:r>
        <w:t>對外資訊與變更通知</w:t>
      </w:r>
    </w:p>
    <w:p>
      <w:r>
        <w:t>對外只說明已核定的提供方式、適用對象、必要設備與實作條件、時數、評量及費用；未核定或未知內容不得承諾。方式變更時，先評估學習與安全影響，再依授權核定、更新資訊並通知受影響者。</w:t>
      </w:r>
    </w:p>
    <w:p>
      <w:pPr>
        <w:pStyle w:val="Heading2"/>
      </w:pPr>
      <w:r>
        <w:t>I04-E03 政策規則、權責與公開覆核表</w:t>
      </w:r>
    </w:p>
    <w:p>
      <w:pPr>
        <w:spacing w:after="80"/>
      </w:pPr>
      <w:r>
        <w:t>逐條填列政策規則及其負責、公開、變更和覆核方式；未核定前保留待核定。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規則／版本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制定／核定責任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適用及例外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公開對象／管道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變更與覆核頻率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紀錄／證據位置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[規則逐條待核定]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[權責待核定]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[適用範圍及例外待核定]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[公開方式待核定]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[變更條件／覆核週期待核定]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[紀錄名稱與路徑待填]</w:t>
            </w:r>
          </w:p>
        </w:tc>
      </w:tr>
    </w:tbl>
    <w:p>
      <w:pPr>
        <w:pStyle w:val="Heading2"/>
      </w:pPr>
      <w:r>
        <w:t>I04-E03 專屬要求—來源—結果—證據追溯表</w:t>
      </w:r>
    </w:p>
    <w:p>
      <w:pPr>
        <w:spacing w:after="80"/>
      </w:pPr>
      <w:r>
        <w:t>核對訓練提供方式選擇政策的規則、權責、例外、公開及覆核資料；未核定或未取得來源時保留待補。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政策內容、版本與適用範圍</w:t>
            </w:r>
          </w:p>
        </w:tc>
        <w:tc>
          <w:tcPr>
            <w:tcW w:type="dxa" w:w="3336"/>
            <w:vAlign w:val="center"/>
          </w:tcPr>
          <w:p>
            <w:r>
              <w:t>回查政策原文、版本、生效狀態及適用課程。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□不適用；來源／版本／位置：[待填]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制定、審查與核定權責</w:t>
            </w:r>
          </w:p>
        </w:tc>
        <w:tc>
          <w:tcPr>
            <w:tcW w:type="dxa" w:w="3336"/>
            <w:vAlign w:val="center"/>
          </w:tcPr>
          <w:p>
            <w:r>
              <w:t>依章程、授權或正式紀錄核對責任功能及核定依據，不推定姓名或職務。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□不適用；權責依據／核定紀錄：[待填]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例外、變更與停止條件</w:t>
            </w:r>
          </w:p>
        </w:tc>
        <w:tc>
          <w:tcPr>
            <w:tcW w:type="dxa" w:w="3336"/>
            <w:vAlign w:val="center"/>
          </w:tcPr>
          <w:p>
            <w:r>
              <w:t>檢視必要控制、風險判斷、未達條件時的停辦／修正及例外授權。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□不適用；例外規則／處置證據：[待填]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公開資訊與變更通知</w:t>
            </w:r>
          </w:p>
        </w:tc>
        <w:tc>
          <w:tcPr>
            <w:tcW w:type="dxa" w:w="3336"/>
            <w:vAlign w:val="center"/>
          </w:tcPr>
          <w:p>
            <w:r>
              <w:t>核對對象、管道、公開版本、通知、撤回失效版本及保存紀錄。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□不適用；公告／通知／版本位置：[待填]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覆核頻率與改善追蹤</w:t>
            </w:r>
          </w:p>
        </w:tc>
        <w:tc>
          <w:tcPr>
            <w:tcW w:type="dxa" w:w="3336"/>
            <w:vAlign w:val="center"/>
          </w:tcPr>
          <w:p>
            <w:r>
              <w:t>核對覆核觸發條件、週期、責任、決議與後續驗證資料。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□不適用；覆核日期／責任／證據：[待填]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