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現況資料／來源／直接證據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差距判定／分析／支持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c>
          <w:tcPr>
            <w:tcW w:type="dxa" w:w="2002"/>
            <w:vAlign w:val="center"/>
          </w:tcPr>
          <w:p>
            <w:r>
              <w:t>課程設計\n可觀察行為：[待核定]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標準來源／版次：[待核定]\n目標級別：[待核定]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差距＝目標級別－現況級別；[行動待填]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發展措施／責任功能／期限：[待補]\n驗證工具、時點與證據位置：[待核定]</w:t>
            </w:r>
          </w:p>
        </w:tc>
      </w:tr>
      <w:tr>
        <w:tc>
          <w:tcPr>
            <w:tcW w:type="dxa" w:w="2002"/>
            <w:vAlign w:val="center"/>
          </w:tcPr>
          <w:p>
            <w:r>
              <w:t>安全示範與界線\n可觀察行為：[待核定]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標準來源／版次：[待核定規範／資格]\n目標級別：[待核定]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發展措施／責任功能／期限：[待補]\n驗證工具、時點與證據位置：[待核定]</w:t>
            </w:r>
          </w:p>
        </w:tc>
      </w:tr>
      <w:tr>
        <w:tc>
          <w:tcPr>
            <w:tcW w:type="dxa" w:w="2002"/>
            <w:vAlign w:val="center"/>
          </w:tcPr>
          <w:p>
            <w:r>
              <w:t>學習支持與評量\n可觀察行為：[待核定]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標準來源／版次：[待核定]\n目標級別：[待核定]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發展措施／責任功能／期限：[待補]\n驗證工具、時點與證據位置：[待核定]</w:t>
            </w:r>
          </w:p>
        </w:tc>
      </w:tr>
      <w:tr>
        <w:tc>
          <w:tcPr>
            <w:tcW w:type="dxa" w:w="2002"/>
            <w:vAlign w:val="center"/>
          </w:tcPr>
          <w:p>
            <w:r>
              <w:t>資料管理與品質改善\n可觀察行為：[待核定]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標準來源／版次：[待核定]\n目標級別：[待核定]</w:t>
            </w:r>
          </w:p>
        </w:tc>
        <w:tc>
          <w:tcPr>
            <w:tcW w:type="dxa" w:w="2002"/>
            <w:vAlign w:val="center"/>
          </w:tcPr>
          <w:p>
            <w:r>
              <w:t>[未觀察／待證據]</w:t>
            </w:r>
          </w:p>
        </w:tc>
        <w:tc>
          <w:tcPr>
            <w:tcW w:type="dxa" w:w="2002"/>
            <w:vAlign w:val="center"/>
          </w:tcPr>
          <w:p>
            <w:r>
              <w:t>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發展措施／責任功能／期限：[待補]\n驗證工具、時點與證據位置：[待核定]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