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專業訓練人員職能評估方法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評估架構、判準與可填用紀錄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先確認職能要求及證據來源，再對照實際功能角色的能力表現；用於人員發展與課程品質管理，不代替資格證明。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評估面向與行為判準、證據核驗規則、空白評估表及待補資料。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實際人員名冊、職務分工、學經歷與證照、聘任或合作文件、已執行評估及改善紀錄。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一、目的、範圍與基本原則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本方法供協會規劃專業訓練人員的職能評估。評估對象、職能要求及適用課程均應先經協會確認；未填入實際人員資料前，本文只是方法工作稿。職能評估結果不等同法定資格、專業證照或主管機關認可。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以課程任務和實際工作要求界定職能，不以職稱或自述直接判定能力。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每項判定至少記錄觀察情境、評量工具、證據位置及評估日期；沒有原始證據即列待查。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課程內容涉及健康教育或傳統整復推拿技術時，另檢核安全、溝通及非醫療界線；不得推論療效。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同一人可依不同課程或任務分別評估；避免把單一表現擴大為全面能力結論。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二、功能角色與職能面向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540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功能角色（非現職名單）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職能面向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可接受的觀察或證據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需求辨識、職能分析、目標對應、課程架構與評量設計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需求資料分析、設計文件、版本紀錄、審查意見及修訂軌跡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授課或技術示範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內容正確、教學表達、示範安全、學習檢核及轉介界線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資格原件核對、教案、試教觀察、評量規準、課後檢討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訓練行政與學習支持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招生資訊、學員聯繫、紀錄管理、個資保護及異常處理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流程紀錄、表單版次、存取權限、學習支持與異常處理紀錄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品質檢討與改進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資料彙整、問題分析、改善追蹤與版本控管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分析表、會議決議、改善責任與期限、完成後覆核資料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三、行為判準與評估方式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680"/>
        <w:gridCol w:w="381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判定層級（建議）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可觀察表現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判定與處理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尚未觀察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尚無足以判斷的直接證據，或工作任務尚未確認。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列待補，不得以空白推定合格或不合格。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需支持完成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在提示、共同作業或複核下完成指定任務；應記錄支持方式。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安排指導、補充訓練或流程支持，再依同一規準複核。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可依規準完成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能依已確認的流程或規準完成任務，並留下可查核紀錄。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保存觀察證據；依課程風險及職務範圍決定授權。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可說明並協助他人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能說明判斷理由、辨識例外並協助檢查他人產出。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仍須確認適用範圍及證據，不擴張為未取得的資格認定。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可採用文件查核、結構式訪談、工作樣本、情境題、課程設計審查、試教或現場觀察。各方法須在執行前定義評估者、判準、紀錄欄位與複核方式。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四、評估流程與控制點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5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執行重點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確認任務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界定課程、功能角色、責任界線及適用職能。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任務說明、文件版次、審查者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蒐集證據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核對證明原件或可回查來源，取得必要同意。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來源、取得日期、核驗方式、限制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依規準評估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逐項記錄觀察事實；區分已證實、待查及不適用。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工具版次、事實紀錄、判定理由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複核與回饋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對關鍵職能或不同意見安排第二人複核。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複核意見、分歧處理、告知紀錄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發展與追蹤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提出支持方式、責任功能及回看條件；完成後再留證。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行動項目、期限、追蹤證據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五、單人評估表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對象代碼／功能角色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[待補；未取得同意前不填姓名]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課程或任務及版本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[待補；附核定文件位置]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職能項目與行為判準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[逐項列示來源、適用範圍與可觀察標準]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評估工具與日期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[待補；工具版次、評估情境、評估者功能角色]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觀察事實與證據位置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[只記錄可驗證事實；附原始檔名、頁碼或系統位置]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判定及理由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[尚未觀察／需支持完成／可依規準完成／可說明並協助他人；逐項說明]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發展行動與複核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[待補；責任功能、完成條件、期限、複核證據]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本人回饋／複核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[待補；日期與意見]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六、升格為真實紀錄前核對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取得真實人員與職務資料並完成必要個資告知及授權。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以原件核對資格、年資或第三方證明；不得以本表取代證明。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填入真實評估日期、工具、評估者、觀察事實及複核結果。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移除與實際範圍不符的職能項目，依核定版次保存與追蹤。</w:t>
      </w:r>
    </w:p>
    <w:p>
      <w:pPr>
        <w:pStyle w:val="Heading2"/>
      </w:pPr>
      <w:r>
        <w:t>I06-E02 職能資料來源與判讀追溯表</w:t>
      </w:r>
    </w:p>
    <w:p>
      <w:pPr>
        <w:spacing w:after="80"/>
      </w:pPr>
      <w:r>
        <w:t>記錄職能需求依據、使用欄位、判讀規則及支持結論的原始證據。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查核項目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資料來源／版本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欄位／指標／判準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判讀結果／待補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原始證據位置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覆核／後續處理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職能需求資料來源與適用期間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行為指標與標準的核定依據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現況及差距判讀方法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差距對應的發展措施與驗證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對應查核項目：專業訓練人員職能評估方法等證明。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t>七、職能行為指標、標準差距與雷達圖資料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以下等級是供協會審議的建議尺度，正式使用前須依實際職務、規範及課程核定。沒有觀察資料時一律填「未觀察」，不得給分或推定具備資格。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建議等級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可觀察標準（須按任務校準）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處理方式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1｜尚未觀察／無證據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沒有足以判定的直接證據，或任務／標準尚未確認。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列待補，不算達標也不算不合格。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2｜需指導完成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在提示或共同作業下完成指定任務；支持程度需記錄。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安排指導與再次觀察。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3｜依核定規準完成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在明確情境下依規準完成並留下可追溯證據。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由適當功能複核適用範圍。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4｜能判讀例外並說明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可說明理由、辨識例外並指出何時停止／求助。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不得擴張成法定資格或專業認證。</w:t>
            </w:r>
          </w:p>
        </w:tc>
      </w:tr>
    </w:tbl>
    <w:p>
      <w:pPr>
        <w:keepNext/>
        <w:spacing w:before="100" w:after="60"/>
      </w:pPr>
      <w:r>
        <w:rPr>
          <w:b/>
          <w:color w:val="1F4E78"/>
          <w:sz w:val="22"/>
        </w:rPr>
        <w:t>職能差距評估與發展追蹤矩陣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  <w:shd w:fill="1F4E78"/>
          </w:tcPr>
          <w:p>
            <w:r>
              <w:t>職能／任務＋可觀察行為指標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應達標準／來源／版本／目標級別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現況級別／來源／直接證據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差距（目標－現況）／分析／支持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發展措施／責任期限／驗證方式／證據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課程設計；可觀察行為：[待核定]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現況級別：[待評估]</w:t>
              <w:br/>
              <w:t>資料來源／直接證據：[待填]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數值差距：[待計算]</w:t>
              <w:br/>
              <w:t>差距原因／支持方式：[待填]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安全示範與界線；可觀察行為：[待核定]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標準來源／版次：[待核定規範／資格]；目標級別：[待核定]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現況級別：[待評估]</w:t>
              <w:br/>
              <w:t>資料來源／直接證據：[待填]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數值差距：[待計算]</w:t>
              <w:br/>
              <w:t>差距原因／支持方式：[待填]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</w:tbl>
    <w:p>
      <w:pPr>
        <w:keepNext/>
        <w:pageBreakBefore/>
        <w:spacing w:before="100" w:after="60"/>
      </w:pPr>
      <w:r>
        <w:rPr>
          <w:b/>
          <w:color w:val="1F4E78"/>
          <w:sz w:val="21"/>
        </w:rPr>
        <w:t>職能差距評估與發展追蹤矩陣（續）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  <w:shd w:fill="1F4E78"/>
          </w:tcPr>
          <w:p>
            <w:r>
              <w:t>職能／任務＋可觀察行為指標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應達標準／來源／版本／目標級別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現況級別／來源／直接證據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差距（目標－現況）／分析／支持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發展措施／責任期限／驗證方式／證據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學習支持與評量；可觀察行為：[待核定]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現況級別：[待評估]</w:t>
              <w:br/>
              <w:t>資料來源／直接證據：[待填]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數值差距：[待計算]</w:t>
              <w:br/>
              <w:t>差距原因／支持方式：[待填]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資料管理與品質改善；可觀察行為：[待核定]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現況級別：[待評估]</w:t>
              <w:br/>
              <w:t>資料來源／直接證據：[待填]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數值差距：[待計算]</w:t>
              <w:br/>
              <w:t>差距原因／支持方式：[待填]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職能差距雷達圖資料模板（圖為空白結構）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" name="Picture 1" descr="空白職能評估雷達圖，尚無實測分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1_RADAR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達標率＝有直接證據且達到事前核定標準的職能項數 ÷ 實際評估職能項數；未觀察項目須另列，不納入已評估項。若職能資料不足或分母為 0，填「無法判定」，不得產生雷達面積或總分。跨評估者差異應記錄並複核。</w:t>
      </w:r>
    </w:p>
    <w:p>
      <w:pPr>
        <w:spacing w:after="80"/>
      </w:pPr>
      <w:r>
        <w:t>以下為可直接使用的補充工作表。只填入可回查來源或實際紀錄；尚未取得或核定的內容維持待補。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專業訓練人員職能評估方法</dc:title>
  <dc:subject>專業訓練人員職能評估方法等證明。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