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rFonts w:ascii="Microsoft JhengHei" w:hAnsi="Microsoft JhengHei" w:eastAsia="Microsoft JhengHei"/>
          <w:b/>
          <w:color w:val="183B63"/>
          <w:sz w:val="38"/>
        </w:rPr>
        <w:t>訓練機構訓練業務職能說明與查證表</w:t>
      </w:r>
    </w:p>
    <w:p>
      <w:pPr>
        <w:spacing w:after="80"/>
      </w:pPr>
      <w:r>
        <w:t>待協會逐項確認能力與證據｜工作稿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09"/>
      </w:tblGrid>
      <w:tr>
        <w:trPr>
          <w:cantSplit/>
        </w:trPr>
        <w:tc>
          <w:tcPr>
            <w:tcW w:type="dxa" w:w="100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FF2CC"/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工作稿｜待填入實際資料或完成核定。本文不表示已核定課程、已聘任人員、已召開會議、已執行調查、已辦理訓練或已取得成效。</w:t>
            </w:r>
          </w:p>
        </w:tc>
      </w:tr>
    </w:tbl>
    <w:p>
      <w:pPr>
        <w:spacing w:after="10" w:line="168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8568"/>
      </w:tblGrid>
      <w:tr>
        <w:trPr>
          <w:tblHeader w:val="true"/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閱讀欄位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本文件用途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訓練機構具備執行訓練業務相關職能的說明。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使用方式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由協會逐項確認現有治理、功能分工、人員能力、作業文件及資源，再附上可回查的原始材料；未核實前不作具備能力的結論。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評核先看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能力範圍清單、目前證據欄、缺口判讀及待決議欄。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已確認資料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社團法人屏東縣原始點關懷協會；已確認方向：以健康教育及傳統整復推拿技術為核心，並保留依實際市場需求發展多元課程的空間。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尚待補入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現行組織與授權資料、實際人員及資格、場地設備、作業紀錄、財務及合規文件、決議與簽核。</w:t>
            </w:r>
          </w:p>
        </w:tc>
      </w:tr>
    </w:tbl>
    <w:p>
      <w:pPr>
        <w:spacing w:after="20" w:before="0" w:line="192" w:lineRule="auto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09"/>
      </w:tblGrid>
      <w:tr>
        <w:trPr>
          <w:cantSplit/>
        </w:trPr>
        <w:tc>
          <w:tcPr>
            <w:tcW w:type="dxa" w:w="100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DCEAF5"/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決策狀態：本稿不是協會能力聲明。現有可確認內容僅為協會名稱及使用者提供的核心方向；其他能力與資源尚須逐項查證。</w:t>
            </w:r>
          </w:p>
        </w:tc>
      </w:tr>
    </w:tbl>
    <w:p>
      <w:pPr>
        <w:spacing w:after="10" w:line="168" w:lineRule="auto"/>
      </w:pP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一、說明範圍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20"/>
        </w:rPr>
        <w:t>本表將「執行訓練業務相關職能」拆成可驗證的治理、設計、師資、學員服務、紀錄及品質管理面向。協會需依現況選擇適用項目、指出證據與限制，再決定能否承接特定訓練業務。這份草稿不等同核定、登記或主管機關許可。</w:t>
      </w: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二、能力面向與待查證資料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3240"/>
        <w:gridCol w:w="4248"/>
        <w:gridCol w:w="1224"/>
      </w:tblGrid>
      <w:tr>
        <w:trPr>
          <w:tblHeader w:val="true"/>
          <w:cantSplit/>
        </w:trPr>
        <w:tc>
          <w:tcPr>
            <w:tcW w:type="dxa" w:w="14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能力面向</w:t>
            </w:r>
          </w:p>
        </w:tc>
        <w:tc>
          <w:tcPr>
            <w:tcW w:type="dxa" w:w="32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需確認的可觀察能力</w:t>
            </w:r>
          </w:p>
        </w:tc>
        <w:tc>
          <w:tcPr>
            <w:tcW w:type="dxa" w:w="42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可供核驗的原始材料</w:t>
            </w:r>
          </w:p>
        </w:tc>
        <w:tc>
          <w:tcPr>
            <w:tcW w:type="dxa" w:w="122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現況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治理與授權</w:t>
            </w:r>
          </w:p>
        </w:tc>
        <w:tc>
          <w:tcPr>
            <w:tcW w:type="dxa" w:w="32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誰能決定訓練方向、資源、課程及對外承諾；如何記錄核定。</w:t>
            </w:r>
          </w:p>
        </w:tc>
        <w:tc>
          <w:tcPr>
            <w:tcW w:type="dxa" w:w="42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章程、理監事會議紀錄、授權文件、核定簽辦與版本紀錄。</w:t>
            </w:r>
          </w:p>
        </w:tc>
        <w:tc>
          <w:tcPr>
            <w:tcW w:type="dxa" w:w="122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待查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需求與課程設計</w:t>
            </w:r>
          </w:p>
        </w:tc>
        <w:tc>
          <w:tcPr>
            <w:tcW w:type="dxa" w:w="32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能否取得需求資料、分析職能差距並形成目標、方法與評量。</w:t>
            </w:r>
          </w:p>
        </w:tc>
        <w:tc>
          <w:tcPr>
            <w:tcW w:type="dxa" w:w="42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調查原始資料、分析、課程設計文件、審查與修訂紀錄。</w:t>
            </w:r>
          </w:p>
        </w:tc>
        <w:tc>
          <w:tcPr>
            <w:tcW w:type="dxa" w:w="122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待查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師資與專業支持</w:t>
            </w:r>
          </w:p>
        </w:tc>
        <w:tc>
          <w:tcPr>
            <w:tcW w:type="dxa" w:w="32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能否依課程任務核對師資資格、經驗、教學能力及界線。</w:t>
            </w:r>
          </w:p>
        </w:tc>
        <w:tc>
          <w:tcPr>
            <w:tcW w:type="dxa" w:w="42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履歷、證書原件查核、聘任／合作文件、試教或評估紀錄。</w:t>
            </w:r>
          </w:p>
        </w:tc>
        <w:tc>
          <w:tcPr>
            <w:tcW w:type="dxa" w:w="122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待查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學員服務與安全</w:t>
            </w:r>
          </w:p>
        </w:tc>
        <w:tc>
          <w:tcPr>
            <w:tcW w:type="dxa" w:w="32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能否清楚告知、管理報名、支持學習、處理異常及保護資料。</w:t>
            </w:r>
          </w:p>
        </w:tc>
        <w:tc>
          <w:tcPr>
            <w:tcW w:type="dxa" w:w="42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核定表單、告知文本、流程、權限紀錄、異常處理文件。</w:t>
            </w:r>
          </w:p>
        </w:tc>
        <w:tc>
          <w:tcPr>
            <w:tcW w:type="dxa" w:w="122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待查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場地與資源</w:t>
            </w:r>
          </w:p>
        </w:tc>
        <w:tc>
          <w:tcPr>
            <w:tcW w:type="dxa" w:w="32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能否依課程內容確認場地、設備、教材及可用時段。</w:t>
            </w:r>
          </w:p>
        </w:tc>
        <w:tc>
          <w:tcPr>
            <w:tcW w:type="dxa" w:w="42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場地權源或同意、設備清單、檢查紀錄、教材版次。</w:t>
            </w:r>
          </w:p>
        </w:tc>
        <w:tc>
          <w:tcPr>
            <w:tcW w:type="dxa" w:w="122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待查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行政與品質管理</w:t>
            </w:r>
          </w:p>
        </w:tc>
        <w:tc>
          <w:tcPr>
            <w:tcW w:type="dxa" w:w="32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能否維持紀錄、追蹤評量、處理改善並查回文件版本。</w:t>
            </w:r>
          </w:p>
        </w:tc>
        <w:tc>
          <w:tcPr>
            <w:tcW w:type="dxa" w:w="42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作業規範、檔案索引、實際執行紀錄、改善與複核資料。</w:t>
            </w:r>
          </w:p>
        </w:tc>
        <w:tc>
          <w:tcPr>
            <w:tcW w:type="dxa" w:w="122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待查</w:t>
            </w:r>
          </w:p>
        </w:tc>
      </w:tr>
    </w:tbl>
    <w:p>
      <w:pPr>
        <w:spacing w:after="20" w:before="0" w:line="192" w:lineRule="auto"/>
      </w:pP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三、能力查證工作表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2088"/>
        <w:gridCol w:w="2952"/>
        <w:gridCol w:w="1512"/>
        <w:gridCol w:w="1944"/>
      </w:tblGrid>
      <w:tr>
        <w:trPr>
          <w:tblHeader w:val="true"/>
          <w:cantSplit/>
        </w:trPr>
        <w:tc>
          <w:tcPr>
            <w:tcW w:type="dxa" w:w="1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面向／要求</w:t>
            </w:r>
          </w:p>
        </w:tc>
        <w:tc>
          <w:tcPr>
            <w:tcW w:type="dxa" w:w="208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本會實際作法與責任功能</w:t>
            </w:r>
          </w:p>
        </w:tc>
        <w:tc>
          <w:tcPr>
            <w:tcW w:type="dxa" w:w="295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證據位置及原件核驗</w:t>
            </w:r>
          </w:p>
        </w:tc>
        <w:tc>
          <w:tcPr>
            <w:tcW w:type="dxa" w:w="15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缺口／限制</w:t>
            </w:r>
          </w:p>
        </w:tc>
        <w:tc>
          <w:tcPr>
            <w:tcW w:type="dxa" w:w="194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判定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[逐項填列]</w:t>
            </w:r>
          </w:p>
        </w:tc>
        <w:tc>
          <w:tcPr>
            <w:tcW w:type="dxa" w:w="208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[待協會確認]</w:t>
            </w:r>
          </w:p>
        </w:tc>
        <w:tc>
          <w:tcPr>
            <w:tcW w:type="dxa" w:w="295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[檔名、頁碼、日期、來源、查驗者]</w:t>
            </w:r>
          </w:p>
        </w:tc>
        <w:tc>
          <w:tcPr>
            <w:tcW w:type="dxa" w:w="15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[待查]</w:t>
            </w:r>
          </w:p>
        </w:tc>
        <w:tc>
          <w:tcPr>
            <w:tcW w:type="dxa" w:w="194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□具備 □部分具備 □待補 □不適用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[逐項填列]</w:t>
            </w:r>
          </w:p>
        </w:tc>
        <w:tc>
          <w:tcPr>
            <w:tcW w:type="dxa" w:w="208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[待協會確認]</w:t>
            </w:r>
          </w:p>
        </w:tc>
        <w:tc>
          <w:tcPr>
            <w:tcW w:type="dxa" w:w="295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[檔名、頁碼、日期、來源、查驗者]</w:t>
            </w:r>
          </w:p>
        </w:tc>
        <w:tc>
          <w:tcPr>
            <w:tcW w:type="dxa" w:w="15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[待查]</w:t>
            </w:r>
          </w:p>
        </w:tc>
        <w:tc>
          <w:tcPr>
            <w:tcW w:type="dxa" w:w="194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□具備 □部分具備 □待補 □不適用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[逐項填列]</w:t>
            </w:r>
          </w:p>
        </w:tc>
        <w:tc>
          <w:tcPr>
            <w:tcW w:type="dxa" w:w="208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[待協會確認]</w:t>
            </w:r>
          </w:p>
        </w:tc>
        <w:tc>
          <w:tcPr>
            <w:tcW w:type="dxa" w:w="295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[檔名、頁碼、日期、來源、查驗者]</w:t>
            </w:r>
          </w:p>
        </w:tc>
        <w:tc>
          <w:tcPr>
            <w:tcW w:type="dxa" w:w="15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[待查]</w:t>
            </w:r>
          </w:p>
        </w:tc>
        <w:tc>
          <w:tcPr>
            <w:tcW w:type="dxa" w:w="194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□具備 □部分具備 □待補 □不適用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[逐項填列]</w:t>
            </w:r>
          </w:p>
        </w:tc>
        <w:tc>
          <w:tcPr>
            <w:tcW w:type="dxa" w:w="208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[待協會確認]</w:t>
            </w:r>
          </w:p>
        </w:tc>
        <w:tc>
          <w:tcPr>
            <w:tcW w:type="dxa" w:w="295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[檔名、頁碼、日期、來源、查驗者]</w:t>
            </w:r>
          </w:p>
        </w:tc>
        <w:tc>
          <w:tcPr>
            <w:tcW w:type="dxa" w:w="15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[待查]</w:t>
            </w:r>
          </w:p>
        </w:tc>
        <w:tc>
          <w:tcPr>
            <w:tcW w:type="dxa" w:w="194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□具備 □部分具備 □待補 □不適用</w:t>
            </w:r>
          </w:p>
        </w:tc>
      </w:tr>
    </w:tbl>
    <w:p>
      <w:pPr>
        <w:spacing w:after="20" w:before="0" w:line="192" w:lineRule="auto"/>
      </w:pP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四、適用範圍與人力資源確認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72"/>
        <w:gridCol w:w="6480"/>
      </w:tblGrid>
      <w:tr>
        <w:trPr>
          <w:tblHeader w:val="true"/>
          <w:cantSplit/>
        </w:trPr>
        <w:tc>
          <w:tcPr>
            <w:tcW w:type="dxa" w:w="367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確認問題</w:t>
            </w:r>
          </w:p>
        </w:tc>
        <w:tc>
          <w:tcPr>
            <w:tcW w:type="dxa" w:w="64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協會決議／待補資料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本次可說明的訓練領域與對象</w:t>
            </w:r>
          </w:p>
        </w:tc>
        <w:tc>
          <w:tcPr>
            <w:tcW w:type="dxa" w:w="64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[待協會決定；以市場需求調查及可用專業資源為依據]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健康教育與傳統整復推拿的安全及非醫療界線</w:t>
            </w:r>
          </w:p>
        </w:tc>
        <w:tc>
          <w:tcPr>
            <w:tcW w:type="dxa" w:w="64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[待確認教學內容、師資資格及風險控制；不得宣稱診斷、治療或療效]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行政、課程設計、授課及品質檢討的功能分工</w:t>
            </w:r>
          </w:p>
        </w:tc>
        <w:tc>
          <w:tcPr>
            <w:tcW w:type="dxa" w:w="64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[待填真實人員、職務或合作方式；不得先填姓名或假設已聘任]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可支用經費、場地、教材及其他資源</w:t>
            </w:r>
          </w:p>
        </w:tc>
        <w:tc>
          <w:tcPr>
            <w:tcW w:type="dxa" w:w="64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[待附實際來源及授權；不得由本稿推定可用]</w:t>
            </w:r>
          </w:p>
        </w:tc>
      </w:tr>
    </w:tbl>
    <w:p>
      <w:pPr>
        <w:spacing w:after="20" w:before="0" w:line="192" w:lineRule="auto"/>
      </w:pP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五、協會決議欄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4"/>
        <w:gridCol w:w="6768"/>
      </w:tblGrid>
      <w:tr>
        <w:trPr>
          <w:tblHeader w:val="true"/>
          <w:cantSplit/>
        </w:trPr>
        <w:tc>
          <w:tcPr>
            <w:tcW w:type="dxa" w:w="33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決策事項</w:t>
            </w:r>
          </w:p>
        </w:tc>
        <w:tc>
          <w:tcPr>
            <w:tcW w:type="dxa" w:w="67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決定內容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查證範圍及依據</w:t>
            </w:r>
          </w:p>
        </w:tc>
        <w:tc>
          <w:tcPr>
            <w:tcW w:type="dxa" w:w="67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[待填；附文件與核驗者]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已具備能力及適用限制</w:t>
            </w:r>
          </w:p>
        </w:tc>
        <w:tc>
          <w:tcPr>
            <w:tcW w:type="dxa" w:w="67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[待填；逐項對應第二、三節]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尚未具備或待補能力</w:t>
            </w:r>
          </w:p>
        </w:tc>
        <w:tc>
          <w:tcPr>
            <w:tcW w:type="dxa" w:w="67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[待填；訓練、合作、資源或流程改善方式]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是否可對外說明及使用版本</w:t>
            </w:r>
          </w:p>
        </w:tc>
        <w:tc>
          <w:tcPr>
            <w:tcW w:type="dxa" w:w="67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[待決議；未核定前維持草案]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決議日期、權責人及核定紀錄位置</w:t>
            </w:r>
          </w:p>
        </w:tc>
        <w:tc>
          <w:tcPr>
            <w:tcW w:type="dxa" w:w="67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[待補；不得預填姓名、日期、簽名或文號]</w:t>
            </w:r>
          </w:p>
        </w:tc>
      </w:tr>
    </w:tbl>
    <w:p>
      <w:pPr>
        <w:spacing w:after="20" w:before="0" w:line="192" w:lineRule="auto"/>
      </w:pPr>
    </w:p>
    <w:p>
      <w:pPr>
        <w:pStyle w:val="Heading2"/>
        <w:keepNext/>
        <w:keepLines/>
        <w:spacing w:before="80" w:after="50"/>
      </w:pPr>
      <w:r>
        <w:rPr>
          <w:rFonts w:ascii="Microsoft JhengHei" w:hAnsi="Microsoft JhengHei" w:eastAsia="Microsoft JhengHei"/>
          <w:b/>
          <w:color w:val="245A81"/>
          <w:sz w:val="22"/>
        </w:rPr>
        <w:t>依據與使用界線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18"/>
        </w:rPr>
        <w:t>對應查核項目：訓練機構具備執行訓練業務相關職能的說明。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17"/>
        </w:rPr>
        <w:t>來源：TTQS 人才發展品質管理系統「查核佐證文件資料表－訓練機構版」，第 2 頁。官方文字作為文件範圍依據；本稿中的流程、欄位及方法均為可供協會審議修訂的工作設計，不證明本會已採行。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17"/>
        </w:rPr>
        <w:t>健康教育及傳統整復推拿相關內容限於訓練與非醫療健康教育範圍；不得以本稿宣稱診斷、治療、療效或實際訓練成果。</w:t>
      </w:r>
    </w:p>
    <w:p>
      <w:r>
        <w:br w:type="page"/>
      </w:r>
    </w:p>
    <w:p>
      <w:pPr>
        <w:pStyle w:val="Heading1"/>
        <w:keepNext/>
      </w:pPr>
      <w:r>
        <w:rPr>
          <w:rFonts w:ascii="Microsoft JhengHei" w:hAnsi="Microsoft JhengHei" w:eastAsia="Microsoft JhengHei" w:cs="Microsoft JhengHei"/>
          <w:b/>
          <w:color w:val="1F4E78"/>
          <w:sz w:val="28"/>
        </w:rPr>
        <w:t>六、職能標準、落差判定與適用決策</w:t>
      </w:r>
    </w:p>
    <w:p>
      <w:pPr>
        <w:spacing w:before="40" w:after="100"/>
      </w:pPr>
      <w:r>
        <w:rPr>
          <w:rFonts w:ascii="Microsoft JhengHei" w:hAnsi="Microsoft JhengHei" w:eastAsia="Microsoft JhengHei" w:cs="Microsoft JhengHei"/>
          <w:b w:val="0"/>
          <w:color w:val="404040"/>
          <w:sz w:val="18"/>
        </w:rPr>
        <w:t>本件判定的是機構執行訓練業務的功能與可查證能力，不是協會能力宣稱。所有標準、分工和現況必須由協會按原始資料確認；能力不足時列補強或合作方案，不預先對外表示具備。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02"/>
        <w:gridCol w:w="2002"/>
        <w:gridCol w:w="2002"/>
        <w:gridCol w:w="2002"/>
        <w:gridCol w:w="2002"/>
      </w:tblGrid>
      <w:tr>
        <w:trPr>
          <w:tblHeader w:val="true"/>
        </w:trPr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功能面向／任務</w:t>
            </w:r>
          </w:p>
        </w:tc>
        <w:tc>
          <w:tcPr>
            <w:tcW w:type="dxa" w:w="2002"/>
            <w:vAlign w:val="center"/>
            <w:shd w:fill="1F4E78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標準來源／目標等級</w:t>
            </w:r>
          </w:p>
        </w:tc>
        <w:tc>
          <w:tcPr>
            <w:tcW w:type="dxa" w:w="2002"/>
            <w:vAlign w:val="center"/>
            <w:shd w:fill="1F4E78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核驗證據／現況等級</w:t>
            </w:r>
          </w:p>
        </w:tc>
        <w:tc>
          <w:tcPr>
            <w:tcW w:type="dxa" w:w="2002"/>
            <w:vAlign w:val="center"/>
            <w:shd w:fill="1F4E78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落差（目標－現況）／風險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改善／合作／複評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治理與授權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[章程、決議、授權範圍待核]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[未取得原件前列待查]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[待分析]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[待核定]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需求分析與課程設計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[可追溯需求、目標、評量與版本]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[待核對真實調查／方案]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[待分析]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[責任功能、期限待核定]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師資與教學安全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[依任務核驗資格、示範安全與非醫療界線]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[待核對證書原件、合作文件及評估]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[不得以空白推定]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[補訓／合作／停案待評估]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學員服務與資料管理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[流程、告知、支持、異常與資料權限]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[待核對實際制度與紀錄]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[待分析]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[待核定]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場地、教材及資源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[權源、可用性、授權、設備及風險控制]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[待核對原始文件]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[待分析]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[待核定]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品質追蹤與改善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[評量、分母、原始資料、決議與複評]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[待核對實際紀錄]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[待分析]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[待核定]</w:t>
            </w:r>
          </w:p>
        </w:tc>
      </w:tr>
    </w:tbl>
    <w:p>
      <w:pPr>
        <w:spacing w:before="40" w:after="100"/>
      </w:pPr>
      <w:r>
        <w:rPr>
          <w:rFonts w:ascii="Microsoft JhengHei" w:hAnsi="Microsoft JhengHei" w:eastAsia="Microsoft JhengHei" w:cs="Microsoft JhengHei"/>
          <w:b w:val="0"/>
          <w:color w:val="404040"/>
          <w:sz w:val="18"/>
        </w:rPr>
        <w:t>現況覆蓋率＝有可回查原始證據且經覆核的必要能力項數 ÷ 本次適用能力項數；未取得證據不得列具備。若能力項目尚未核定或分母為 0，標示待核定／不適用並說明。決策前另檢查不能承接的限制及須暫停的條件。</w:t>
      </w:r>
    </w:p>
    <w:p>
      <w:pPr>
        <w:pStyle w:val="Heading2"/>
      </w:pPr>
      <w:r>
        <w:t>評級錨點與落差計算（草案；協會核定前不得作正式評量）</w:t>
      </w:r>
    </w:p>
    <w:p>
      <w:pPr>
        <w:spacing w:after="60"/>
      </w:pPr>
      <w:r>
        <w:t>先依核定任務與風險設定可觀察標準及目標等級，再依可回查原始證據評定現況；資料不足、標準未核定或不適用均標示待查／N/A，不得以等級 1 代填。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008"/>
        <w:gridCol w:w="8712"/>
      </w:tblGrid>
      <w:tr>
        <w:tc>
          <w:tcPr>
            <w:tcW w:type="dxa" w:w="1008"/>
            <w:vAlign w:val="center"/>
            <w:shd w:fill="1F4E78"/>
          </w:tcPr>
          <w:p>
            <w:pPr>
              <w:spacing w:after="0" w:before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等級</w:t>
            </w:r>
          </w:p>
        </w:tc>
        <w:tc>
          <w:tcPr>
            <w:tcW w:type="dxa" w:w="8712"/>
            <w:vAlign w:val="center"/>
            <w:shd w:fill="1F4E78"/>
          </w:tcPr>
          <w:p>
            <w:pPr>
              <w:spacing w:after="0" w:before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暫擬行為錨點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 w:before="0"/>
            </w:pPr>
            <w:r>
              <w:rPr>
                <w:rFonts w:ascii="Microsoft JhengHei" w:hAnsi="Microsoft JhengHei" w:eastAsia="Microsoft JhengHei"/>
                <w:b/>
                <w:sz w:val="18"/>
              </w:rPr>
              <w:t>1</w:t>
            </w:r>
          </w:p>
        </w:tc>
        <w:tc>
          <w:tcPr>
            <w:tcW w:type="dxa" w:w="8712"/>
            <w:vAlign w:val="center"/>
          </w:tcPr>
          <w:p>
            <w:pPr>
              <w:spacing w:after="0" w:before="0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未達核定任務要求；需逐步指導或尚不能穩定完成。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 w:before="0"/>
            </w:pPr>
            <w:r>
              <w:rPr>
                <w:rFonts w:ascii="Microsoft JhengHei" w:hAnsi="Microsoft JhengHei" w:eastAsia="Microsoft JhengHei"/>
                <w:b/>
                <w:sz w:val="18"/>
              </w:rPr>
              <w:t>2</w:t>
            </w:r>
          </w:p>
        </w:tc>
        <w:tc>
          <w:tcPr>
            <w:tcW w:type="dxa" w:w="8712"/>
            <w:vAlign w:val="center"/>
          </w:tcPr>
          <w:p>
            <w:pPr>
              <w:spacing w:after="0" w:before="0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部分達成；可完成常規部分，但仍需定期支持或補足條件。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 w:before="0"/>
            </w:pPr>
            <w:r>
              <w:rPr>
                <w:rFonts w:ascii="Microsoft JhengHei" w:hAnsi="Microsoft JhengHei" w:eastAsia="Microsoft JhengHei"/>
                <w:b/>
                <w:sz w:val="18"/>
              </w:rPr>
              <w:t>3</w:t>
            </w:r>
          </w:p>
        </w:tc>
        <w:tc>
          <w:tcPr>
            <w:tcW w:type="dxa" w:w="8712"/>
            <w:vAlign w:val="center"/>
          </w:tcPr>
          <w:p>
            <w:pPr>
              <w:spacing w:after="0" w:before="0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符合核定標準；可依流程獨立完成常態任務並留存可回查證據。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 w:before="0"/>
            </w:pPr>
            <w:r>
              <w:rPr>
                <w:rFonts w:ascii="Microsoft JhengHei" w:hAnsi="Microsoft JhengHei" w:eastAsia="Microsoft JhengHei"/>
                <w:b/>
                <w:sz w:val="18"/>
              </w:rPr>
              <w:t>4</w:t>
            </w:r>
          </w:p>
        </w:tc>
        <w:tc>
          <w:tcPr>
            <w:tcW w:type="dxa" w:w="8712"/>
            <w:vAlign w:val="center"/>
          </w:tcPr>
          <w:p>
            <w:pPr>
              <w:spacing w:after="0" w:before="0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熟練處理核定範圍內的變化或例外並留痕；不代表取得額外授權。</w:t>
            </w:r>
          </w:p>
        </w:tc>
      </w:tr>
    </w:tbl>
    <w:p>
      <w:pPr>
        <w:spacing w:before="60" w:after="60"/>
      </w:pPr>
      <w:r>
        <w:t>落差＝目標等級－現況等級（正值列改善需求；0 為達標；負值須覆核目標與證據）。達標率＝達到目標的已評能力項目數 ÷ 已核定且有有效評級的項目總數 × 100%；分母為 0 時列 N/A。</w:t>
      </w:r>
    </w:p>
    <w:p>
      <w:pPr>
        <w:keepNext/>
        <w:jc w:val="center"/>
      </w:pPr>
      <w:r>
        <w:rPr>
          <w:rFonts w:ascii="Microsoft JhengHei" w:hAnsi="Microsoft JhengHei"/>
          <w:b/>
          <w:sz w:val="20"/>
        </w:rPr>
        <w:t>圖表架構｜職能落差雷達圖（空白架構）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623560" cy="29679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32_職能落差雷達圖_空白架構_R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9679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t>真實資料升格前核對清單</w:t>
      </w:r>
    </w:p>
    <w:p>
      <w:pPr>
        <w:keepNext/>
        <w:spacing w:after="80"/>
      </w:pPr>
      <w:r>
        <w:t>逐項以原始資料及核定紀錄核對；未取得資料時勾選「待補」並保留工作稿狀態。本清單不表示事項已發生。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tblHeader w:val="true"/>
          <w:cantSplit/>
        </w:trPr>
        <w:tc>
          <w:tcPr>
            <w:tcW w:type="dxa" w:w="3336"/>
            <w:shd w:fill="1F4E78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核對項目</w:t>
            </w:r>
          </w:p>
        </w:tc>
        <w:tc>
          <w:tcPr>
            <w:tcW w:type="dxa" w:w="3336"/>
            <w:shd w:fill="1F4E78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應回查資料／通過條件</w:t>
            </w:r>
          </w:p>
        </w:tc>
        <w:tc>
          <w:tcPr>
            <w:tcW w:type="dxa" w:w="3336"/>
            <w:shd w:fill="1F4E78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狀態／責任／證據位置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職能範圍與標準來源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適用業務、必要能力、標準版本與排除範圍經協會確認；不同任務不互相推定。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□符合 □待補 □不適用；核定標準／範圍：[待填]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組織及人員證據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治理、分工、人員資格、教學能力及場地資源均附原件或可回查來源；未核實維持待查。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□符合 □待補 □不適用；原件／核驗者：[待填]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評估方法與判準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逐項記錄任務、觀察情境、評估者功能、工具版次、日期、判準及複核方式。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□符合 □待補 □不適用；工具／紀錄：[待填]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差距與承接決定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能力不足或安全限制有補強、合作、暫緩或停止方案；對外說明須經授權核定。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□符合 □待補 □不適用；風險／決議：[待填]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版本及正式使用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資料來源、適用對象、修訂、決議及簽核可回查；本工作稿不代替許可、資格或現況證明。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□符合 □待補 □不適用；正式版／決議：[待填]</w:t>
            </w:r>
          </w:p>
        </w:tc>
      </w:tr>
    </w:tbl>
    <w:p>
      <w:pPr>
        <w:pStyle w:val="Heading2"/>
        <w:keepNext/>
      </w:pPr>
      <w:r>
        <w:t>覆核與待辦追蹤（實際完成後填寫）</w:t>
      </w:r>
    </w:p>
    <w:p>
      <w:pPr>
        <w:keepNext/>
        <w:spacing w:after="80"/>
      </w:pPr>
      <w:r>
        <w:t>本欄只記錄實際核對、審議或執行後可回查的事項；尚未完成時保留待填，不代表已核定或已發生。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tblHeader w:val="true"/>
        </w:trPr>
        <w:tc>
          <w:tcPr>
            <w:tcW w:type="dxa" w:w="3336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覆核欄位</w:t>
            </w:r>
          </w:p>
        </w:tc>
        <w:tc>
          <w:tcPr>
            <w:tcW w:type="dxa" w:w="3336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填寫／判讀規則</w:t>
            </w:r>
          </w:p>
        </w:tc>
        <w:tc>
          <w:tcPr>
            <w:tcW w:type="dxa" w:w="3336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紀錄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能力標準與適用版本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填寫能力標準名稱、版次、來源、適用任務及核定狀態。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[待填／待核定；附證據路徑]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職能證據及資料來源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記錄工具、觀察時點、證據來源、代碼方式及查閱權限。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[待填／待核定；附證據路徑]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訓練或非訓練處置理由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依個別差距說明訓練、非訓練或待判定；不得推定已完成。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[待填／待核定；附證據路徑]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核定與後續驗證位置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指定後續取證或複評條件、時點、功能角色及檔案索引。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[待填／待核定；附證據路徑]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9" w:h="16834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待實際資料或核定後更新｜第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9" w:lineRule="auto"/>
    </w:pPr>
    <w:rPr>
      <w:rFonts w:ascii="Microsoft JhengHei" w:hAnsi="Microsoft JhengHei" w:eastAsia="Microsoft JhengHei"/>
      <w:color w:val="24364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訓練機構訓練業務職能說明與查證表</dc:title>
  <dc:subject>訓練機構具備執行訓練業務相關職能的說明。</dc:subject>
  <dc:creator>社團法人屏東縣原始點關懷協會</dc:creator>
  <cp:keywords>TTQS; 工作稿; 待核定; 待原始資料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