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標準來源／目標等級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核驗證據／現況等級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落差（目標－現況）／風險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改善／合作／複評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pStyle w:val="Heading2"/>
      </w:pPr>
      <w:r>
        <w:t>評級錨點與落差計算（草案；協會核定前不得作正式評量）</w:t>
      </w:r>
    </w:p>
    <w:p>
      <w:pPr>
        <w:spacing w:after="60"/>
      </w:pPr>
      <w:r>
        <w:t>先依核定任務與風險設定可觀察標準及目標等級，再依可回查原始證據評定現況；資料不足、標準未核定或不適用均標示待查／N/A，不得以等級 1 代填。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暫擬行為錨點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未達核定任務要求；需逐步指導或尚不能穩定完成。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部分達成；可完成常規部分，但仍需定期支持或補足條件。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符合核定標準；可依流程獨立完成常態任務並留存可回查證據。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熟練處理核定範圍內的變化或例外並留痕；不代表取得額外授權。</w:t>
            </w:r>
          </w:p>
        </w:tc>
      </w:tr>
    </w:tbl>
    <w:p>
      <w:pPr>
        <w:spacing w:before="60" w:after="60"/>
      </w:pPr>
      <w:r>
        <w:t>落差＝目標等級－現況等級（正值列改善需求；0 為達標；負值須覆核目標與證據）。達標率＝達到目標的已評能力項目數 ÷ 已核定且有有效評級的項目總數 × 100%；分母為 0 時列 N/A。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能力標準與適用版本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填寫能力標準名稱、版次、來源、適用任務及核定狀態。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職能證據及資料來源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記錄工具、觀察時點、證據來源、代碼方式及查閱權限。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訓練或非訓練處置理由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依個別差距說明訓練、非訓練或待判定；不得推定已完成。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核定與後續驗證位置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指定後續取證或複評條件、時點、功能角色及檔案索引。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