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目標覆蓋率＝有已核定評量且附可回查證據的目標數 ÷ 全部已核定目標數 × 100%；未核定目標不列入，分母為 0 時標示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