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p>
      <w:pPr>
        <w:keepNext/>
        <w:spacing w:before="100" w:after="60"/>
      </w:pPr>
      <w:r>
        <w:rPr>
          <w:b/>
          <w:color w:val="1F4E78"/>
          <w:sz w:val="22"/>
        </w:rPr>
        <w:t>職能差距評估與發展追蹤矩陣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課程設計；可觀察行為：[待核定]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安全示範與界線；可觀察行為：[待核定]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keepNext/>
        <w:pageBreakBefore/>
        <w:spacing w:before="100" w:after="60"/>
      </w:pPr>
      <w:r>
        <w:rPr>
          <w:b/>
          <w:color w:val="1F4E78"/>
          <w:sz w:val="21"/>
        </w:rPr>
        <w:t>職能差距評估與發展追蹤矩陣（續）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學習支持與評量；可觀察行為：[待核定]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資料管理與品質改善；可觀察行為：[待核定]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before="40" w:after="100"/>
      </w:pPr>
      <w:r>
        <w:rPr>
          <w:rFonts w:ascii="Microsoft JhengHei" w:hAnsi="Microsoft JhengHei" w:eastAsia="Microsoft JhengHei"/>
        </w:rPr>
        <w:t>職能落差＝目標等級－現況等級；僅在目標標準已核定且現況有直接證據時計算。正值表示尚有差距，0 為達標；負值須覆核標準與資料。未核定或未評估時列待補，不以 0 代填。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