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課程設計進度流程及訓練規劃書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需求到課程方案的可追溯工作文件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有課程設計進度表、課程規劃流程圖說明、訓練規劃書等佐證資料。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依序完成需求確認、職能差距分析、目標與課程設計、資源檢核、審查、核定及執行紀錄；每一階段以可查證輸出作為進入下一階段的條件。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流程圖、進度表、訓練規劃書欄位與資料升格檢核。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實際課程需求、調查與職能分析、課程名稱與時程、師資／學員條件、教材、場地設備、評量、風險及核定。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一、課程設計流程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流程：需求來源確認 → 職能差距分析 → 學習目標設定 → 課程與評量設計 → 資源及風險檢核 → 利害關係人審查 → 核定版本 → 執行蒐證與檢討。未完成前置資料時，應記錄缺口及暫停條件，不直接排定或宣稱已開課。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6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4392"/>
        <w:gridCol w:w="4392"/>
      </w:tblGrid>
      <w:tr>
        <w:trPr>
          <w:tblHeader w:val="true"/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主要工作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階段輸出／進入條件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 需求確認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確認客戶、受訓者或市場資料來源，檢查範圍及品質。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有可回查的需求資料；若尚未調查，列為待辦。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 職能分析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把任務拆解為知識、技能、態度及安全／界線要求。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職能差距表含標準來源、現況證據與限制。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 目標設定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將預期學習表現寫成可觀察、可評量的目標。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每一目標對應需求、職能及評量方式。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4 方案設計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安排單元、教學方法、教材、時程及評量。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課程規劃書及設計進度表，版本可追溯。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5 資源與風險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確認師資、學員條件、場地、設備、資料保護及安全。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資源證明或待補清單、風險控制及責任功能。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6 審查與核定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聽取相關功能意見，處理利益關係及未解決事項。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審查紀錄、修訂對照及正式核定資料。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7 執行與檢討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僅依核定版本執行，收集實際參與與評量資料。</w:t>
            </w:r>
          </w:p>
        </w:tc>
        <w:tc>
          <w:tcPr>
            <w:tcW w:type="dxa" w:w="43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實際紀錄、成效分析及改善閉環；未執行不得填實績。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二、設計進度表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584"/>
        <w:gridCol w:w="3672"/>
        <w:gridCol w:w="25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工作階段／預定期間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輸入及預期產出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狀態／證據位置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需求確認／[待排]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[輸入來源及調查結果]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職能與目標／[待排]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[差距分析、目標與評量關聯]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方案編製／[待排]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[單元、方法、教材、時程]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審查修訂／[待排]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[意見、處理、版本差異]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核定與準備／[待排]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[核定資料、師資、場地與資源]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執行與檢討／[待排]</w:t>
            </w:r>
          </w:p>
        </w:tc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[待核定]</w:t>
            </w:r>
          </w:p>
        </w:tc>
        <w:tc>
          <w:tcPr>
            <w:tcW w:type="dxa" w:w="36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[實際紀錄、評量及改善資料]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[未開始／待填]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三、訓練規劃書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tblHeader w:val="true"/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內容及核驗要求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課程名稱、版本及狀態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[待核定；未核定前標示擬議，不對外稱已開辦]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需求依據與目標對象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[附調查／訪談來源、範圍及限制；未取得資料留白]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職能差距與學習目標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[逐項連結任務、標準來源、差距證據及可觀察目標]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課程單元、時程與教學方法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[待設計；時數、日期及單元須經核定]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師資、學員條件及選任方式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[待填真實資格、遴選條件及核驗方式]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教材、場地、設備及資源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[列真實版本、來源、可用性及檢核結果]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評量及成效追蹤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[引用已審議的評量表與指標；實際結果另填]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利益關係、安全風險及異常處理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[列出審查方式、控制措施及責任功能]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核定、變更及附件索引</w:t>
            </w:r>
          </w:p>
        </w:tc>
        <w:tc>
          <w:tcPr>
            <w:tcW w:type="dxa" w:w="72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[核定前留待補；各附件可回查版本與位置]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四、版本核定與升格檢核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需求、職能、目標、單元及評量之間有逐項連結，來源與限制明確。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師資、學員條件、場地、教材、設備、安全及預算等已依實際資料查核。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審查意見已記錄採納、未採納理由與未解事項；未解事項有責任功能及處理條件。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正式核定文件、日期、權責及版次可回查；未核定前保留工作稿狀態。</w:t>
      </w:r>
    </w:p>
    <w:p>
      <w:pPr>
        <w:pStyle w:val="Heading2"/>
      </w:pPr>
      <w:r>
        <w:t>I07-E04 課程設計要求追溯表</w:t>
      </w:r>
    </w:p>
    <w:p>
      <w:pPr>
        <w:spacing w:after="80"/>
      </w:pPr>
      <w:r>
        <w:t>依 I07-E04 要求記錄來源、對應設計欄位、檢核結果及證據位置。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查核要求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設計欄位／判準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結果／待補狀態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證據名稱／位置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需求與職能分析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目標及可觀察成果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單元內容、順序與時程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教法、評量及證據安排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對應查核項目：有課程設計進度表、課程規劃流程圖說明、訓練規劃書等佐證資料。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五、課程設計流程判斷門檻與階段交付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箭頭流程是流程概要；下表補上可操作的判定點。條件未達時退回補件、修訂或暫停，不以預排日期當成已完成。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決策節點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檢查輸入／判準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符合時輸出／下一步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未符合時處理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證據／責任功能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需求是否可核驗？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來源、期間、對象、母數與限制完整。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進行職能差距分析。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補資料或停止課程設計。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[來源ID／承辦功能]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能力差距是否連到目標？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任務、標準、現況證據與可觀察目標相連。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設計單元與評量。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重定義任務／目標，不先排課。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[差距表／審查功能]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資源與安全是否具備？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師資、學員條件、教材、場地、設備、個資及風險均有證據。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提交方案審查。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列缺口、控制或暫停條件。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[查核表／責任功能]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審查是否完成且版本核准？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意見、異議、採納及未採納理由均已記錄。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發布核定版及進入準備。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退回修訂；未核定不得對外宣稱。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[會議紀錄／授權功能]</w:t>
            </w:r>
          </w:p>
        </w:tc>
      </w:tr>
      <w:t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執行資料是否足以回饋？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真實出席、評量、異常及追蹤資料可回查。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分析結果並修訂下一版。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標無法判定及補查事項。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[原始紀錄／品質功能]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里程碑完成判準：每個階段交付物可回查、版本一致、責任與核定清楚，且未解安全或法規問題已關閉或有經核定的停止條件。任何階段未通過，不沿用舊排程假定完成。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目標覆蓋率＝有已核定評量且附可回查證據的目標數 ÷ 全部已核定目標數 × 100%；未核定目標不列入，分母為 0 時標示 N/A。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p>
      <w:pPr>
        <w:pStyle w:val="Heading2"/>
      </w:pPr>
      <w:r>
        <w:t>課程單元時程表</w:t>
      </w:r>
    </w:p>
    <w:p>
      <w:pPr>
        <w:spacing w:after="80"/>
      </w:pPr>
      <w:r>
        <w:t>核定前標示待核定；實施後填實際日期、時數與查核資料。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日期／時段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時數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目標與內容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教法／教材／場地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評量／判準／證據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[單元／順序待填]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[日期／時段待核定]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[時數待核定]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[目標與內容待填]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[教法、教材、場地待填]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[評量、判準與證據待核定]</w:t>
            </w:r>
          </w:p>
        </w:tc>
      </w:tr>
    </w:tbl>
    <w:p>
      <w:pPr>
        <w:spacing w:before="80" w:after="0"/>
      </w:pPr>
      <w:r>
        <w:t>真實性界線：本補充表目前是空白工作表。日期、核定、會議、執行、評量、結果及成果均須依原始資料填入；未填不代表事項已發生。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課程設計進度流程及訓練規劃書</dc:title>
  <dc:subject>有課程設計進度表、課程規劃流程圖說明、訓練規劃書等佐證資料。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