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6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</w:pPr>
      <w:r>
        <w:t>I07-E04 課程設計要求追溯表</w:t>
      </w:r>
    </w:p>
    <w:p>
      <w:pPr>
        <w:spacing w:after="80"/>
      </w:pPr>
      <w:r>
        <w:t>依 I07-E04 要求記錄來源、對應設計欄位、檢核結果及證據位置。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查核要求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設計欄位／判準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結果／待補狀態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證據名稱／位置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需求與職能分析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目標及可觀察成果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單元內容、順序與時程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教法、評量及證據安排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/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五、課程設計流程判斷門檻與階段交付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箭頭流程是流程概要；下表補上可操作的判定點。條件未達時退回補件、修訂或暫停，不以預排日期當成已完成。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決策節點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檢查輸入／判準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符合時輸出／下一步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未符合時處理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證據／責任功能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需求是否可核驗？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來源、期間、對象、母數與限制完整。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進行職能差距分析。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補資料或停止課程設計。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[來源ID／承辦功能]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能力差距是否連到目標？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任務、標準、現況證據與可觀察目標相連。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設計單元與評量。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重定義任務／目標，不先排課。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[差距表／審查功能]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資源與安全是否具備？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師資、學員條件、教材、場地、設備、個資及風險均有證據。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提交方案審查。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列缺口、控制或暫停條件。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[查核表／責任功能]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審查是否完成且版本核准？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意見、異議、採納及未採納理由均已記錄。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發布核定版及進入準備。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退回修訂；未核定不得對外宣稱。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[會議紀錄／授權功能]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執行資料是否足以回饋？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真實出席、評量、異常及追蹤資料可回查。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分析結果並修訂下一版。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標無法判定及補查事項。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[原始紀錄／品質功能]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里程碑完成判準：每個階段交付物可回查、版本一致、責任與核定清楚，且未解安全或法規問題已關閉或有經核定的停止條件。任何階段未通過，不沿用舊排程假定完成。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目標覆蓋率＝有已核定評量且附可回查證據的目標數 ÷ 全部已核定目標數 × 100%；未核定目標不列入，分母為 0 時標示 N/A。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