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p>
      <w:pPr>
        <w:keepNext/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Next/>
        <w:keepLines/>
      </w:pPr>
      <w:r>
        <w:rPr>
          <w:rFonts w:ascii="Microsoft JhengHei" w:hAnsi="Microsoft JhengHei"/>
          <w:b w:val="0"/>
          <w:sz w:val="20"/>
        </w:rPr>
        <w:t>課程規劃審查流程：確認會議範圍及版本 → 檢視需求與職能 → 檢視目標、內容、方式及資源 → 擬定評量工具與接受標準 → 記錄異議及採納／未採納理由 → 指派責任與期限 → 核定或列待辦。未具備原始資料時不得預填出席、意見或決議。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39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/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p>
      <w:pPr>
        <w:pStyle w:val="Heading2"/>
      </w:pPr>
      <w:r>
        <w:t>課程單元與時程審查紀錄</w:t>
      </w:r>
    </w:p>
    <w:p>
      <w:r>
        <w:t>於實際會議中逐項核對課程版本；未召開前不預填出席、意見或決定。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預定時段／時數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目標／內容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方法／評量與證據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會議意見／決議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</w:tbl>
    <w:p>
      <w:pPr>
        <w:pStyle w:val="Heading2"/>
        <w:keepNext/>
        <w:pageBreakBefore w:val="0"/>
      </w:pPr>
      <w:r>
        <w:t>I08-E03 課程方案會議—意見—決議追溯表</w:t>
      </w:r>
    </w:p>
    <w:p>
      <w:pPr>
        <w:keepNext/>
        <w:spacing w:after="80"/>
      </w:pPr>
      <w:r>
        <w:t>僅於實際開會後記錄日期、參與角色、會前資料、意見、異議、決議、責任及附件；會前不得預填出席或決議。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會議日期、參與角色與範圍</w:t>
            </w:r>
          </w:p>
        </w:tc>
        <w:tc>
          <w:tcPr>
            <w:tcW w:type="dxa" w:w="3336"/>
            <w:vAlign w:val="center"/>
          </w:tcPr>
          <w:p>
            <w:r>
              <w:t>以簽到或可回查紀錄確認是否召開、參與者角色及審議範圍。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□不適用；日期／簽到／版本：[待填]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會前資料與方案版本</w:t>
            </w:r>
          </w:p>
        </w:tc>
        <w:tc>
          <w:tcPr>
            <w:tcW w:type="dxa" w:w="3336"/>
            <w:vAlign w:val="center"/>
          </w:tcPr>
          <w:p>
            <w:r>
              <w:t>列明需求、課程方案、時程、評量工具及附件的名稱與版本。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□不適用；資料清單／位置：[待填]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意見、異議與資料依據</w:t>
            </w:r>
          </w:p>
        </w:tc>
        <w:tc>
          <w:tcPr>
            <w:tcW w:type="dxa" w:w="3336"/>
            <w:vAlign w:val="center"/>
          </w:tcPr>
          <w:p>
            <w:r>
              <w:t>保留不同意見、資料來源及採納／不採納理由。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□不適用；會議原始紀錄：[待填]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決議、責任與期限</w:t>
            </w:r>
          </w:p>
        </w:tc>
        <w:tc>
          <w:tcPr>
            <w:tcW w:type="dxa" w:w="3336"/>
            <w:vAlign w:val="center"/>
          </w:tcPr>
          <w:p>
            <w:r>
              <w:t>逐案記錄決議或未決、授權依據、責任功能、期限與停下條件。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□不適用；決議／追蹤表：[待填]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簽認、附件與後續驗證</w:t>
            </w:r>
          </w:p>
        </w:tc>
        <w:tc>
          <w:tcPr>
            <w:tcW w:type="dxa" w:w="3336"/>
            <w:vAlign w:val="center"/>
          </w:tcPr>
          <w:p>
            <w:r>
              <w:t>核對簽認、附件索引、保存位置、版本及下次驗證方式。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□不適用；簽認／附件／證據：[待填]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實際會議日期、版本及出席證據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會後依簽到或可回查紀錄填實際日期、版本、出席角色；未開會留白。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議題、意見、異議與未採納理由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保留各方意見、異議、採納或未採納理由及其資料依據。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決議、責任功能及完成期限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逐項記錄決議、責任功能、期限與完成條件；會前不得預填決議。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簽認、附件索引與保存位置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列簽認、附件名稱、保存位置與可回查索引。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p>
      <w:pPr>
        <w:spacing w:after="80"/>
      </w:pPr>
      <w:r>
        <w:rPr>
          <w:rFonts w:ascii="Microsoft JhengHei" w:hAnsi="Microsoft JhengHei" w:eastAsia="Microsoft JhengHei"/>
        </w:rPr>
        <w:t>目標覆蓋率＝有對應評量工具及判準的核定目標數 ÷ 全部核定目標數 × 100%；待核定目標不計入，分母為 0 時列 N/A。此比率只反映設計涵蓋，不代表學員達標或訓練有效。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