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訓練評估方法與成效指標對照表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目標、工具、證據、公式、判準與追蹤欄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r>
              <w:t>定義課程目標、評量方法、成效指標、計算口徑、接受判準及原始證據位置；本件是 0039 審查會議紀錄的評量工具配套，不是會議紀錄。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先由課程規劃審查確認目標與接受判準，之後依核定工具收集真實資料；每項結論須保留分母、缺漏、來源與限制。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指標定義、工具與時間點、計算口徑、接受標準欄及實際結果空白紀錄。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核定課程目標、正式評量工具、審查決議、實際學員資料、原始評量表及後續追蹤。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一、使用規則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本表把課程學習目標連到評量方法與可查核證據。指標名稱及判準須由課程規劃審查後核定；目前未取得實際課程、工具或結果，因此所有數據欄保持空白。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對應表作為評量規劃依據，不是實際成果報告。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若使用前後測，須記錄配對條件、工具版次、缺考及無效資料處理。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若使用觀察清單，須定義觀察情境、觀察者及判定規則。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標準未事前核定或資料不足時，只能列為待判定，不得補造或事後改標準。</w:t>
      </w:r>
    </w:p>
    <w:p>
      <w:pPr>
        <w:pStyle w:val="Heading1"/>
        <w:keepNext/>
        <w:keepLines/>
        <w:pageBreakBefore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二、學習目標與評量方法對照</w:t>
      </w:r>
    </w:p>
    <w:p>
      <w:pPr>
        <w:keepNext/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Next/>
        <w:keepLines/>
      </w:pPr>
      <w:r>
        <w:rPr>
          <w:rFonts w:ascii="Microsoft JhengHei" w:hAnsi="Microsoft JhengHei"/>
          <w:b w:val="0"/>
          <w:sz w:val="20"/>
        </w:rPr>
        <w:t>評量設計流程：課程目標 → 可觀察指標 → 工具與時點 → 原始資料及分母 → 計算與判定門檻 → 結果限制及判讀 → 改善決定 → 同口徑複核。接受標準須事前核定；未取得資料時保留空白。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40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預定學習目標（待課程核定）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可觀察指標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方法／工具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時間與證據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能說明課程核心知識及適用界線。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對情境題或口頭說明依規準判讀正確性。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情境題／結構式問答；工具版次待核定。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訓前基線、訓後評量；保留作答及評分規準。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能依核定步驟完成指定練習任務。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觀察清單逐項記錄動作步驟及安全控制。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示範／工作樣本評量；不作療效判定。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練習評量時點待核定；保存觀察表及複核。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能辨識需停止、詢問或轉介的情境。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情境中能指出界線、風險與適當處理。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案例判斷題／情境演練；不收集個人病史。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訓後或情境演練；保存題目、答案及規準。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能將學習內容用於經確認的工作任務。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依追蹤規準記錄實際運用、條件與限制。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追蹤表／工作樣本；須取得適當同意。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追蹤時間待核定；保存可回查佐證。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三、計算口徑與接受判準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2376"/>
        <w:gridCol w:w="1800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指標／公式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分母及資料品質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接受判準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結果欄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前後評量變化：有效配對者訓後分數－同一人訓前分數；可另呈現分布。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只納入工具一致且可配對的有效紀錄；列出未配對及缺考數。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[待審查會議核定標準及缺漏處理]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任務表現達標比例：依規準達標人數／有完整觀察紀錄人數。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記錄觀察者、情境、有效紀錄及未評人數。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[待依課程風險與任務核定]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界線情境正確判讀比例：依核定答案規準正確作答數／有效作答數。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題目、答案及判讀規準同版；說明無效作答處理。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[待審查會議核定標準]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工作應用追蹤：依核定規準完成應用項目數／實際完成追蹤數。</w:t>
            </w:r>
          </w:p>
        </w:tc>
        <w:tc>
          <w:tcPr>
            <w:tcW w:type="dxa" w:w="25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區分自陳與可核驗證據；列追蹤未回覆與期間限制。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[待核定；不可推論醫療效果或全面成效]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四、實際評量與證據索引表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728"/>
        <w:gridCol w:w="2088"/>
        <w:gridCol w:w="2232"/>
        <w:gridCol w:w="216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日期／評量時點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分子／分母／缺漏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結果及判讀限制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原始證據位置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[待填；附計算口徑]</w:t>
            </w:r>
          </w:p>
        </w:tc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[待實際分析]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[檔名／頁碼／權限]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五、檢討與改善閉環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880"/>
        <w:gridCol w:w="2376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發現與證據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原因判讀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改善決議及責任功能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後續驗證條件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[待分析後填寫]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[待審查／核定]</w:t>
            </w:r>
          </w:p>
        </w:tc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核定關聯：評量工具與接受標準決議應能回查實際課程規劃審查紀錄；目前無已確認會議紀錄或正式接受標準。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六、目標覆蓋、證據追溯與版本核對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每個課程目標均須有對應工具、時點、判準及資料來源；不完整者先補設計，不以平均分掩蓋缺項。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目標ID／原文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指標及核定標準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工具／時點／版本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實際資料及分母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結果／限制／證據位置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覆核／決議ID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目標覆蓋率＝具備核定評量工具、判準、時點及證據欄位的課程目標數 ÷ 全部核定課程目標數。沒有目標或目標數為 0 時填不適用；此覆蓋率不等於學員達標率。接受標準及工具版次應連到 0039 會議的實際決議ID；沒有決議時標待核定。</w:t>
      </w:r>
    </w:p>
    <w:p>
      <w:pPr>
        <w:pStyle w:val="Heading2"/>
      </w:pPr>
      <w:r>
        <w:t>課程單元與評量時程對照</w:t>
      </w:r>
    </w:p>
    <w:p>
      <w:r>
        <w:t>此表供課程規劃審查時逐單元確認評量安排；實際工具、時點及判準須依核定方案填入。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單元／時程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學習目標ID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可觀察指標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工具／時點／版次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接受判準／證據來源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[待核定]</w:t>
            </w:r>
          </w:p>
        </w:tc>
      </w:tr>
    </w:tbl>
    <w:p>
      <w:pPr>
        <w:pStyle w:val="Heading2"/>
        <w:keepNext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核定課程目標與來源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課程及目標版本已回連至實際審查決議；未核定目標維持待定。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□不適用；來源／決議ID：[待填]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目標、工具、時點與判準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每個目標對應可觀察指標、工具版次、評量時點及事前核定接受標準。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□不適用；工具／標準：[待填]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資料品質與公式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分子、分母、缺考、缺值、配對條件及計算口徑完整；結果可追到原始資料。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□不適用；原始表／公式：[待填]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結果限制與解釋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不以滿意度或平均數取代目標達成；明列樣本、工具、外推及非醫療界線。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□不適用；分析／限制：[待填]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改善及複核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改善決定、責任、期限、核定及下一次可比較驗證均有欄位。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□不適用；改善追蹤：[待填]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課程目標及核定接受標準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填實際核定課程目標、接受標準及版本；未核定保持待核定。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評量工具、時點與版本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記錄工具版本、施測或觀察時點及適用條件。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實際資料、分母及限制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填原始資料、分子分母、缺值及限制；不得預填成果。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改善決定、責任功能與再驗證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列出核定改善、責任功能、期限及下一次比對條件。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