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課程設計進度流程及訓練規劃書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需求到課程方案的可追溯工作文件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有課程設計進度表、課程規劃流程圖說明、訓練規劃書等佐證資料。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依序完成需求確認、職能差距分析、目標與課程設計、資源檢核、審查、核定及執行紀錄；每一階段以可查證輸出作為進入下一階段的條件。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流程圖、進度表、訓練規劃書欄位與資料升格檢核。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實際課程需求、調查與職能分析、課程名稱與時程、師資／學員條件、教材、場地設備、評量、風險及核定。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一、課程設計流程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流程：需求來源確認 → 職能差距分析 → 學習目標設定 → 課程與評量設計 → 資源及風險檢核 → 利害關係人審查 → 核定版本 → 執行蒐證與檢討。未完成前置資料時，應記錄缺口及暫停條件，不直接排定或宣稱已開課。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392"/>
        <w:gridCol w:w="4392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階段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主要工作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階段輸出／進入條件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需求確認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確認客戶、受訓者或市場資料來源，檢查範圍及品質。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有可回查的需求資料；若尚未調查，列為待辦。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 職能分析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把任務拆解為知識、技能、態度及安全／界線要求。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職能差距表含標準來源、現況證據與限制。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 目標設定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將預期學習表現寫成可觀察、可評量的目標。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每一目標對應需求、職能及評量方式。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 方案設計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安排單元、教學方法、教材、時程及評量。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課程規劃書及設計進度表，版本可追溯。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 資源與風險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確認師資、學員條件、場地、設備、資料保護及安全。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資源證明或待補清單、風險控制及責任功能。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 審查與核定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聽取相關功能意見，處理利益關係及未解決事項。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審查紀錄、修訂對照及正式核定資料。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7 執行與檢討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僅依核定版本執行，收集實際參與與評量資料。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實際紀錄、成效分析及改善閉環；未執行不得填實績。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二、設計進度表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584"/>
        <w:gridCol w:w="3672"/>
        <w:gridCol w:w="25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工作階段／預定期間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輸入及預期產出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狀態／證據位置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需求確認／[待排]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[輸入來源及調查結果]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職能與目標／[待排]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[差距分析、目標與評量關聯]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方案編製／[待排]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[單元、方法、教材、時程]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審查修訂／[待排]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[意見、處理、版本差異]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核定與準備／[待排]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[核定資料、師資、場地與資源]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執行與檢討／[待排]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[實際紀錄、評量及改善資料]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三、訓練規劃書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tblHeader w:val="true"/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規劃欄位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內容及核驗要求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課程名稱、版本及狀態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[待核定；未核定前標示擬議，不對外稱已開辦]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需求依據與目標對象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[附調查／訪談來源、範圍及限制；未取得資料留白]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職能差距與學習目標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[逐項連結任務、標準來源、差距證據及可觀察目標]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課程單元、時程與教學方法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[待設計；時數、日期及單元須經核定]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師資、學員條件及選任方式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[待填真實資格、遴選條件及核驗方式]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教材、場地、設備及資源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[列真實版本、來源、可用性及檢核結果]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評量及成效追蹤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[引用已審議的評量表與指標；實際結果另填]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利益關係、安全風險及異常處理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[列出審查方式、控制措施及責任功能]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核定、變更及附件索引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[核定前留待補；各附件可回查版本與位置]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四、版本核定與升格檢核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需求、職能、目標、單元及評量之間有逐項連結，來源與限制明確。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師資、學員條件、場地、教材、設備、安全及預算等已依實際資料查核。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審查意見已記錄採納、未採納理由與未解事項；未解事項有責任功能及處理條件。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正式核定文件、日期、權責及版次可回查；未核定前保留工作稿狀態。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對應查核項目：有課程設計進度表、課程規劃流程圖說明、訓練規劃書等佐證資料。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課程設計進度流程及訓練規劃書</dc:title>
  <dc:subject>有課程設計進度表、課程規劃流程圖說明、訓練規劃書等佐證資料。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