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訓練流程管控方法及紀錄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I16-E01｜指標 16｜草案：待確認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呈現訓練流程控制點及單班執行、例外、覆核與證據索引。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正式核定後按階段核對並記錄實際狀態、附件及異常處理。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訓練流程的管控方法及紀錄。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一、訓練流程與控制點（工作稿）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本稿提供從需求規劃到結案改善的流程控制與紀錄格式。各控制點須先依本會權責審議，正式採用後依實際課程填寫；空白控制表不表示已辦理或已核定。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824"/>
        <w:gridCol w:w="3413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流程階段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執行／核對重點</w:t>
            </w:r>
          </w:p>
        </w:tc>
        <w:tc>
          <w:tcPr>
            <w:tcW w:type="dxa" w:w="34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放行條件與應留證據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需求與規劃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記錄需求來源、課程對象、目標、期程及資源。</w:t>
            </w:r>
          </w:p>
        </w:tc>
        <w:tc>
          <w:tcPr>
            <w:tcW w:type="dxa" w:w="34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需求與目標可追溯；計畫版本／核定依據可查。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課程準備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核對師資、教材、場地設備、通知、評量與安全安排。</w:t>
            </w:r>
          </w:p>
        </w:tc>
        <w:tc>
          <w:tcPr>
            <w:tcW w:type="dxa" w:w="34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必要資料齊備；缺漏或例外有處理紀錄。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招生與開課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依已核定對象與遴選方式辦理，確認實際開課條件。</w:t>
            </w:r>
          </w:p>
        </w:tc>
        <w:tc>
          <w:tcPr>
            <w:tcW w:type="dxa" w:w="34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通知及遴選紀錄可查；實際日期如實登錄。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訓練執行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依核定課表執行，記錄出席、調整、異常與處置。</w:t>
            </w:r>
          </w:p>
        </w:tc>
        <w:tc>
          <w:tcPr>
            <w:tcW w:type="dxa" w:w="34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實際執行與課程版本對照；變更留痕。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評量及回饋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依事前工具收集評量與意見，保護個資並保留原始資料。</w:t>
            </w:r>
          </w:p>
        </w:tc>
        <w:tc>
          <w:tcPr>
            <w:tcW w:type="dxa" w:w="34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工具、母數、原始資料及彙整方式可追溯。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結案與改善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核對資源、財務、成果、差異及後續改善追蹤。</w:t>
            </w:r>
          </w:p>
        </w:tc>
        <w:tc>
          <w:tcPr>
            <w:tcW w:type="dxa" w:w="34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結案報告、審查／決議及附件索引完整。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二、單班流程控制紀錄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880"/>
        <w:gridCol w:w="1800"/>
        <w:gridCol w:w="2376"/>
        <w:gridCol w:w="1397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日期／階段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檢核點與實際狀態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證據編號／版次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異常／變更處置</w:t>
            </w:r>
          </w:p>
        </w:tc>
        <w:tc>
          <w:tcPr>
            <w:tcW w:type="dxa" w:w="13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核對角色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[實際日期]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[待填；通過／待補／不適用]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[如有才填]</w:t>
            </w:r>
          </w:p>
        </w:tc>
        <w:tc>
          <w:tcPr>
            <w:tcW w:type="dxa" w:w="13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[實際日期]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[待填；通過／待補／不適用]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[如有才填]</w:t>
            </w:r>
          </w:p>
        </w:tc>
        <w:tc>
          <w:tcPr>
            <w:tcW w:type="dxa" w:w="13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[實際日期]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[待填；通過／待補／不適用]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[如有才填]</w:t>
            </w:r>
          </w:p>
        </w:tc>
        <w:tc>
          <w:tcPr>
            <w:tcW w:type="dxa" w:w="13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[實際日期]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[待填；通過／待補／不適用]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[如有才填]</w:t>
            </w:r>
          </w:p>
        </w:tc>
        <w:tc>
          <w:tcPr>
            <w:tcW w:type="dxa" w:w="13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[實際日期]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[待填；通過／待補／不適用]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[如有才填]</w:t>
            </w:r>
          </w:p>
        </w:tc>
        <w:tc>
          <w:tcPr>
            <w:tcW w:type="dxa" w:w="13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三、例外、覆核與文件控制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808"/>
        <w:gridCol w:w="2088"/>
        <w:gridCol w:w="3053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例外／變更編號</w:t>
            </w:r>
          </w:p>
        </w:tc>
        <w:tc>
          <w:tcPr>
            <w:tcW w:type="dxa" w:w="280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影響與臨時處置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核定／通知</w:t>
            </w:r>
          </w:p>
        </w:tc>
        <w:tc>
          <w:tcPr>
            <w:tcW w:type="dxa" w:w="30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後續改善與證據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[待填；無則填無並說明]</w:t>
            </w:r>
          </w:p>
        </w:tc>
        <w:tc>
          <w:tcPr>
            <w:tcW w:type="dxa" w:w="280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[待核定／待通知]</w:t>
            </w:r>
          </w:p>
        </w:tc>
        <w:tc>
          <w:tcPr>
            <w:tcW w:type="dxa" w:w="30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[待追蹤]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80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[待核定／待通知]</w:t>
            </w:r>
          </w:p>
        </w:tc>
        <w:tc>
          <w:tcPr>
            <w:tcW w:type="dxa" w:w="30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[待追蹤]</w:t>
            </w:r>
          </w:p>
        </w:tc>
      </w:tr>
    </w:tbl>
    <w:p>
      <w:pPr>
        <w:spacing w:after="10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376"/>
        <w:gridCol w:w="2376"/>
        <w:gridCol w:w="2261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課程／班次識別與版本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承辦角色／日期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覆核角色／日期</w:t>
            </w:r>
          </w:p>
        </w:tc>
        <w:tc>
          <w:tcPr>
            <w:tcW w:type="dxa" w:w="226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文件狀態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6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[待核定／工作稿]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資料與真實性：本稿依官方查核要求設計，尚須本會依實際制度、資料及權責審議補正。未填資料不表示已有課程、會議、系統、數據、核定或成果。</w:t>
      </w:r>
    </w:p>
    <w:p>
      <w:pPr>
        <w:pStyle w:val="Heading1"/>
        <w:keepNext/>
      </w:pPr>
      <w:r>
        <w:t>補充：逐流程切合性控制紀錄</w:t>
      </w:r>
    </w:p>
    <w:p>
      <w:pPr>
        <w:widowControl/>
      </w:pPr>
      <w:r>
        <w:t>依核定課程版本逐項比對，逐列記錄實際、差異、即時處理、核准及證據；有偏差時不以整體「符合」掩蓋。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流程／項目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核定標準／版本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實際情況／時間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符合／偏差／不適用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差異原因／證據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即時處置／核准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責任／期限／複驗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招生與資格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偏差時填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師資與教材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偏差時填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教學內容／時數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偏差時填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出席與學習活動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偏差時填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場地／設備／安全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偏差時填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評量與回饋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偏差時填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結案／保存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偏差時填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補充：異常判斷與結案控制</w:t>
      </w:r>
    </w:p>
    <w:p>
      <w:pPr>
        <w:widowControl/>
      </w:pPr>
      <w:r>
        <w:t>影響安全、個資、法規或課程目標的偏差先停止／通報並保全原件；只有權責核准後才能恢復。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偏差狀態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判斷／升級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必需原件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恢復／結案條件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未發現偏差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按抽核計畫記錄有效母體與結果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逐項核對表與附件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覆核後記錄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偏差待查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記錄事實與暫行控制，不推測原因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原始版本、時間線、通知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原因與範圍確認後核定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改善待驗證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指定責任、期限與預定驗證口徑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措施完成證據及獨立複驗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達標、簽核、保存位置確認</w:t>
            </w:r>
          </w:p>
        </w:tc>
      </w:tr>
    </w:tbl>
    <w:p>
      <w:pPr>
        <w:widowControl/>
      </w:pPr>
      <w:r>
        <w:t>切合項目達成率＝符合項目數 ÷ 應檢且適用項目數。每一個不適用項目須有理由並經覆核；應檢母體未核定、分母為零或檢查尚未執行時，標示不適用／待測，不填零。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