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/>
        <w:spacing w:after="20"/>
      </w:pPr>
      <w:r>
        <w:rPr>
          <w:rFonts w:ascii="Microsoft JhengHei" w:hAnsi="Microsoft JhengHei" w:eastAsia="Microsoft JhengHei"/>
          <w:b/>
          <w:color w:val="183B63"/>
          <w:sz w:val="36"/>
        </w:rPr>
        <w:t>資訊系統化程度及檢索速度評估表</w:t>
      </w:r>
    </w:p>
    <w:p>
      <w:pPr>
        <w:keepNext/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5A81"/>
          <w:sz w:val="17"/>
        </w:rPr>
        <w:t>I14-E05｜指標 14｜草案：待確認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009"/>
      </w:tblGrid>
      <w:tr>
        <w:trPr>
          <w:cantSplit/>
        </w:trPr>
        <w:tc>
          <w:tcPr>
            <w:tcW w:type="dxa" w:w="1000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FFF2CC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183B63"/>
                <w:sz w:val="16"/>
              </w:rPr>
              <w:t>工作稿｜尚待填入本會真實資料並完成審議核定；不代表課程已辦理、流程已核准、聘任已成立、證明已取得或成果已發生。</w:t>
            </w:r>
          </w:p>
        </w:tc>
      </w:tr>
    </w:tbl>
    <w:p>
      <w:pPr>
        <w:spacing w:after="6" w:line="132" w:lineRule="auto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8381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5"/>
              </w:rPr>
              <w:t>說明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文件用途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以明確口徑盤點資料系統化程度並記錄實際檢索測試速度。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怎麼使用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先界定範圍與樣本，再逐次計時；結論只依原始證據，不預填績效。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評核先看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本表的流程／檢核／追溯欄位及其後附的真實原始證據索引。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目前狀態</w:t>
            </w:r>
          </w:p>
        </w:tc>
        <w:tc>
          <w:tcPr>
            <w:tcW w:type="dxa" w:w="838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5"/>
              </w:rPr>
              <w:t>只有官方查核要求及空白工作稿；協會現行作法、紀錄、核定與成果均待查證或補入。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官方查核要求</w:t>
      </w:r>
    </w:p>
    <w:p>
      <w:pPr>
        <w:keepLines/>
        <w:spacing w:before="0" w:after="40" w:line="250" w:lineRule="auto"/>
      </w:pPr>
      <w:r>
        <w:rPr>
          <w:rFonts w:ascii="Microsoft JhengHei" w:hAnsi="Microsoft JhengHei" w:eastAsia="Microsoft JhengHei"/>
          <w:b w:val="0"/>
          <w:color w:val="24364B"/>
          <w:sz w:val="17"/>
        </w:rPr>
        <w:t>資訊系統化程度及檢索速度。</w:t>
      </w:r>
    </w:p>
    <w:p>
      <w:pPr>
        <w:pStyle w:val="Heading1"/>
        <w:keepNext/>
        <w:keepLines/>
        <w:spacing w:before="120" w:after="40"/>
      </w:pPr>
      <w:r>
        <w:rPr>
          <w:rFonts w:ascii="Microsoft JhengHei" w:hAnsi="Microsoft JhengHei" w:eastAsia="Microsoft JhengHei"/>
          <w:b/>
          <w:color w:val="183B63"/>
          <w:sz w:val="24"/>
        </w:rPr>
        <w:t>一、評估目的與測量口徑</w:t>
      </w: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8"/>
        </w:rPr>
        <w:t>本表用來盤點訓練資料管理的系統化程度，並以實際查詢測試量測檢索速度。先選定期間、範圍、樣本與計時起訖，再記錄原始結果；本稿不代表協會已完成系統化或達到任何速度。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4824"/>
        <w:gridCol w:w="3269"/>
      </w:tblGrid>
      <w:tr>
        <w:trPr>
          <w:tblHeader w:val="true"/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指標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計算／判讀方法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需保存的原始資料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索引建置率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已建立必要索引欄位的文件數 ÷ 抽查文件總數 × 100%。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抽樣清單、應有欄位與逐件核對結果。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查詢成功率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找到正確文件且版次的測試次數 ÷ 有效測試次數 × 100%。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每次條件、預期文件、實際文件及判定。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檢索耗時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記錄每次從開始查詢至確認正確文件／版次的秒數；另報中位數。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逐次計時值、計時方式及例外說明。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版本辨識率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正確辨識有效版與作廢版次數 ÷ 版本測試次數 × 100%。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含多版本的測試案例及答案核對。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改善完成率</w:t>
            </w:r>
          </w:p>
        </w:tc>
        <w:tc>
          <w:tcPr>
            <w:tcW w:type="dxa" w:w="482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期限內完成且複測有效的改善件數 ÷ 到期改善件數 × 100%。</w:t>
            </w:r>
          </w:p>
        </w:tc>
        <w:tc>
          <w:tcPr>
            <w:tcW w:type="dxa" w:w="326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改善清單、期限、複測及覆核紀錄。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二、系統化程度盤點量表（建議尺度，待審議）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5976"/>
        <w:gridCol w:w="2405"/>
      </w:tblGrid>
      <w:tr>
        <w:trPr>
          <w:tblHeader w:val="true"/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級別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判讀描述（按證據選級）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本次級別／證據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0 尚未盤點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沒有可核對的管理方式或盤點資料。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[待評估]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1 個別保存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主要依個人或零散資料夾保存，尚無一致索引。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[待評估]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2 有共同規則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有分類／命名／索引規則，但執行一致性尚未量測。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[待評估]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3 可查詢追溯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可依共同欄位查找、辨識版次，且有調閱紀錄。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[待評估]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4 定期改善</w:t>
            </w:r>
          </w:p>
        </w:tc>
        <w:tc>
          <w:tcPr>
            <w:tcW w:type="dxa" w:w="5976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有權限、備份、測試與改善複測紀錄，並依結果更新。</w:t>
            </w:r>
          </w:p>
        </w:tc>
        <w:tc>
          <w:tcPr>
            <w:tcW w:type="dxa" w:w="2405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[待評估]</w:t>
            </w:r>
          </w:p>
        </w:tc>
      </w:tr>
    </w:tbl>
    <w:p>
      <w:pPr>
        <w:spacing w:after="10" w:line="132" w:lineRule="auto"/>
      </w:pPr>
    </w:p>
    <w:p>
      <w:pPr>
        <w:keepLines/>
        <w:spacing w:before="0" w:after="44" w:line="250" w:lineRule="auto"/>
      </w:pPr>
      <w:r>
        <w:rPr>
          <w:rFonts w:ascii="Microsoft JhengHei" w:hAnsi="Microsoft JhengHei" w:eastAsia="Microsoft JhengHei"/>
          <w:b w:val="0"/>
          <w:color w:val="24364B"/>
          <w:sz w:val="16"/>
        </w:rPr>
        <w:t>評級只能依本次可查驗證據；量表及目標值須由本會審議核定。若沒有系統或測試紀錄，應如實填「待盤點／未測」，不可推估級別。</w:t>
      </w:r>
    </w:p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三、檢索速度測試與分析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1944"/>
        <w:gridCol w:w="1944"/>
        <w:gridCol w:w="2232"/>
        <w:gridCol w:w="2189"/>
      </w:tblGrid>
      <w:tr>
        <w:trPr>
          <w:tblHeader w:val="true"/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測試編號／日期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資料範圍／難度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預期文件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實際秒數／正確版次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3"/>
              </w:rPr>
              <w:t>結果與限制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[實測後填]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[待分析]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[實測後填]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[待分析]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1944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[待填]</w:t>
            </w:r>
          </w:p>
        </w:tc>
        <w:tc>
          <w:tcPr>
            <w:tcW w:type="dxa" w:w="223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[實測後填]</w:t>
            </w:r>
          </w:p>
        </w:tc>
        <w:tc>
          <w:tcPr>
            <w:tcW w:type="dxa" w:w="2189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3"/>
              </w:rPr>
              <w:t>[待分析]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[待填]</w:t>
            </w:r>
          </w:p>
        </w:tc>
        <w:tc>
          <w:tcPr>
            <w:tcW w:type="dxa" w:w="2232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[實測後填]</w:t>
            </w:r>
          </w:p>
        </w:tc>
        <w:tc>
          <w:tcPr>
            <w:tcW w:type="dxa" w:w="2189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[待分析]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[待填]</w:t>
            </w:r>
          </w:p>
        </w:tc>
        <w:tc>
          <w:tcPr>
            <w:tcW w:type="dxa" w:w="2232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[實測後填]</w:t>
            </w:r>
          </w:p>
        </w:tc>
        <w:tc>
          <w:tcPr>
            <w:tcW w:type="dxa" w:w="2189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[待分析]</w:t>
            </w:r>
          </w:p>
        </w:tc>
      </w:tr>
      <w:tr>
        <w:trPr>
          <w:cantSplit/>
        </w:trPr>
        <w:tc>
          <w:tcPr>
            <w:tcW w:type="dxa" w:w="158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[待填]</w:t>
            </w:r>
          </w:p>
        </w:tc>
        <w:tc>
          <w:tcPr>
            <w:tcW w:type="dxa" w:w="1944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[待填]</w:t>
            </w:r>
          </w:p>
        </w:tc>
        <w:tc>
          <w:tcPr>
            <w:tcW w:type="dxa" w:w="2232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[實測後填]</w:t>
            </w:r>
          </w:p>
        </w:tc>
        <w:tc>
          <w:tcPr>
            <w:tcW w:type="dxa" w:w="2189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[待分析]</w:t>
            </w:r>
          </w:p>
        </w:tc>
      </w:tr>
    </w:tbl>
    <w:p>
      <w:pPr>
        <w:spacing w:after="10" w:line="132" w:lineRule="auto"/>
      </w:pPr>
    </w:p>
    <w:p>
      <w:pPr>
        <w:pStyle w:val="Heading2"/>
        <w:keepNext/>
      </w:pPr>
      <w:r>
        <w:t>四、測試條件一致性核對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240"/>
        <w:gridCol w:w="6653"/>
      </w:tblGrid>
      <w:tr>
        <w:tc>
          <w:tcPr>
            <w:tcW w:type="dxa" w:w="3240"/>
            <w:shd w:fill="183B6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4"/>
              </w:rPr>
              <w:t>核對項目</w:t>
            </w:r>
          </w:p>
        </w:tc>
        <w:tc>
          <w:tcPr>
            <w:tcW w:type="dxa" w:w="6653"/>
            <w:shd w:fill="183B6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/>
                <w:sz w:val="14"/>
              </w:rPr>
              <w:t>測試設定／證據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測試範圍與樣本口徑</w:t>
            </w:r>
          </w:p>
        </w:tc>
        <w:tc>
          <w:tcPr>
            <w:tcW w:type="dxa" w:w="665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[待填；須與結果摘要一致]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操作角色、設備／工具及資料位置</w:t>
            </w:r>
          </w:p>
        </w:tc>
        <w:tc>
          <w:tcPr>
            <w:tcW w:type="dxa" w:w="665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[實測時記錄；權限依核定設定]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計時起點、終點及單位</w:t>
            </w:r>
          </w:p>
        </w:tc>
        <w:tc>
          <w:tcPr>
            <w:tcW w:type="dxa" w:w="665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[開始查詢至確認正確文件與版次；秒]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預期答案及版次核對依據</w:t>
            </w:r>
          </w:p>
        </w:tc>
        <w:tc>
          <w:tcPr>
            <w:tcW w:type="dxa" w:w="665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[待填；由可查驗原件確認]</w:t>
            </w:r>
          </w:p>
        </w:tc>
      </w:tr>
      <w:tr>
        <w:trPr>
          <w:cantSplit/>
        </w:trPr>
        <w:tc>
          <w:tcPr>
            <w:tcW w:type="dxa" w:w="3240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無效測試、缺件與排除理由</w:t>
            </w:r>
          </w:p>
        </w:tc>
        <w:tc>
          <w:tcPr>
            <w:tcW w:type="dxa" w:w="6653"/>
          </w:tcPr>
          <w:p>
            <w:pPr>
              <w:keepLines/>
              <w:spacing w:before="0" w:after="0" w:line="240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4"/>
              </w:rPr>
              <w:t>[逐筆登錄；不得只保留成功測試]</w:t>
            </w:r>
          </w:p>
        </w:tc>
      </w:tr>
    </w:tbl>
    <w:p>
      <w:pPr>
        <w:pStyle w:val="Heading2"/>
        <w:keepNext/>
        <w:keepLines/>
        <w:spacing w:before="60" w:after="40"/>
      </w:pPr>
      <w:r>
        <w:rPr>
          <w:rFonts w:ascii="Microsoft JhengHei" w:hAnsi="Microsoft JhengHei" w:eastAsia="Microsoft JhengHei"/>
          <w:b/>
          <w:color w:val="245A81"/>
          <w:sz w:val="20"/>
        </w:rPr>
        <w:t>五、結論與改善追蹤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72"/>
        <w:gridCol w:w="6221"/>
      </w:tblGrid>
      <w:tr>
        <w:trPr>
          <w:tblHeader w:val="true"/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結論欄位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  <w:shd w:fill="183B63"/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4"/>
              </w:rPr>
              <w:t>填寫內容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盤點期間／樣本口徑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[待填]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測試次數／成功率／耗時摘要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[依原始計時資料計算；待填]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未達目標原因／資料限制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[待分析；不得推定原因]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改善措施／負責角色／期限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[待核定]</w:t>
            </w:r>
          </w:p>
        </w:tc>
      </w:tr>
      <w:tr>
        <w:trPr>
          <w:cantSplit/>
        </w:trPr>
        <w:tc>
          <w:tcPr>
            <w:tcW w:type="dxa" w:w="3672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複測結果／覆核日期</w:t>
            </w:r>
          </w:p>
        </w:tc>
        <w:tc>
          <w:tcPr>
            <w:tcW w:type="dxa" w:w="6221"/>
            <w:vAlign w:val="center"/>
            <w:tcMar>
              <w:top w:w="55" w:type="dxa"/>
              <w:start w:w="72" w:type="dxa"/>
              <w:bottom w:w="55" w:type="dxa"/>
              <w:end w:w="72" w:type="dxa"/>
            </w:tcMar>
          </w:tcPr>
          <w:p>
            <w:pPr>
              <w:keepLines/>
              <w:spacing w:before="0" w:after="0" w:line="245" w:lineRule="auto"/>
            </w:pPr>
            <w:r/>
            <w:r>
              <w:rPr>
                <w:rFonts w:ascii="Microsoft JhengHei" w:hAnsi="Microsoft JhengHei" w:eastAsia="Microsoft JhengHei"/>
                <w:b w:val="0"/>
                <w:color w:val="24364B"/>
                <w:sz w:val="14"/>
              </w:rPr>
              <w:t>[實際完成後填]</w:t>
            </w:r>
          </w:p>
        </w:tc>
      </w:tr>
    </w:tbl>
    <w:p>
      <w:pPr>
        <w:spacing w:after="10" w:line="132" w:lineRule="auto"/>
      </w:pPr>
    </w:p>
    <w:p>
      <w:pPr>
        <w:pStyle w:val="Heading1"/>
        <w:keepNext/>
      </w:pPr>
      <w:r>
        <w:t>補充：檢索測試統計口徑</w:t>
      </w:r>
    </w:p>
    <w:p>
      <w:pPr>
        <w:widowControl/>
      </w:pPr>
      <w:r>
        <w:t>測試前固定範圍、樣本抽取、難度與計時方式；每筆都保留原始秒數與正確版次判定。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02"/>
        <w:gridCol w:w="2502"/>
        <w:gridCol w:w="2502"/>
        <w:gridCol w:w="2502"/>
      </w:tblGrid>
      <w:tr>
        <w:trPr>
          <w:tblHeader w:val="true"/>
        </w:trPr>
        <w:tc>
          <w:tcPr>
            <w:tcW w:type="dxa" w:w="25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統計項目</w:t>
            </w:r>
          </w:p>
        </w:tc>
        <w:tc>
          <w:tcPr>
            <w:tcW w:type="dxa" w:w="25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計算／報告方式</w:t>
            </w:r>
          </w:p>
        </w:tc>
        <w:tc>
          <w:tcPr>
            <w:tcW w:type="dxa" w:w="25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必須同時列出的資料</w:t>
            </w:r>
          </w:p>
        </w:tc>
        <w:tc>
          <w:tcPr>
            <w:tcW w:type="dxa" w:w="2502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沒有可用資料時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成功率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正確文件與版次的有效測試 ÷ 全部有效測試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成功數、有效測試數、失敗及排除理由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標未測或待資料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中位檢索秒數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排序有效測試秒數後取中位數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樣本數、秒數、取樣規則、例外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標未測或待資料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P95 檢索秒數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排序有效測試秒數並依事前核定的百分位方法取第95百分位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逐次秒數、樣本數、方法及計算版本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標未測或待資料</w:t>
            </w:r>
          </w:p>
        </w:tc>
      </w:tr>
      <w:tr>
        <w:trPr>
          <w:cantSplit/>
        </w:trPr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系統化程度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按本稿 0–4 級描述逐項提供現況證據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各維度證據位置及覆核人</w:t>
            </w:r>
          </w:p>
        </w:tc>
        <w:tc>
          <w:tcPr>
            <w:tcW w:type="dxa" w:w="2502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不可因無資料評為0級，先標待盤點</w:t>
            </w:r>
          </w:p>
        </w:tc>
      </w:tr>
    </w:tbl>
    <w:p>
      <w:pPr>
        <w:pStyle w:val="Heading1"/>
        <w:keepNext/>
      </w:pPr>
      <w:r>
        <w:t>補充：結果彙總與改善決策</w:t>
      </w:r>
    </w:p>
    <w:p>
      <w:pPr>
        <w:widowControl/>
      </w:pPr>
      <w:r>
        <w:t>先檢查測試條件一致性，再比較期間；不同系統、權限、樣本或計時起訖不得直接比較。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30"/>
        <w:gridCol w:w="1430"/>
        <w:gridCol w:w="1430"/>
        <w:gridCol w:w="1430"/>
        <w:gridCol w:w="1430"/>
        <w:gridCol w:w="1430"/>
        <w:gridCol w:w="1430"/>
      </w:tblGrid>
      <w:tr>
        <w:trPr>
          <w:tblHeader w:val="true"/>
        </w:trPr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期間／工具版本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測試範圍／樣本數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成功率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中位秒數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P95 秒數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系統化級別／證據</w:t>
            </w:r>
          </w:p>
        </w:tc>
        <w:tc>
          <w:tcPr>
            <w:tcW w:type="dxa" w:w="143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限制／措施／覆核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待盤點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待盤點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待實測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待盤點</w:t>
            </w:r>
          </w:p>
        </w:tc>
        <w:tc>
          <w:tcPr>
            <w:tcW w:type="dxa" w:w="143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9" w:h="16834"/>
      <w:pgMar w:top="835" w:right="950" w:bottom="835" w:left="95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62748A"/>
        <w:sz w:val="16"/>
      </w:rPr>
      <w:t xml:space="preserve">待本會填實、審議核定後使用｜第 </w:t>
    </w:r>
    <w:r>
      <w:rPr>
        <w:rFonts w:ascii="Microsoft JhengHei" w:hAnsi="Microsoft JhengHei" w:eastAsia="Microsoft JhengHei"/>
        <w:b w:val="0"/>
        <w:color w:val="62748A"/>
        <w:sz w:val="16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Microsoft JhengHei" w:hAnsi="Microsoft JhengHei" w:eastAsia="Microsoft JhengHei"/>
        <w:b w:val="0"/>
        <w:color w:val="62748A"/>
        <w:sz w:val="16"/>
      </w:rPr>
      <w:t xml:space="preserve"> 頁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62748A"/>
        <w:sz w:val="16"/>
      </w:rPr>
      <w:t>社團法人屏東縣原始點關懷協會｜文件工作稿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0" w:lineRule="auto"/>
    </w:pPr>
    <w:rPr>
      <w:rFonts w:ascii="Microsoft JhengHei" w:hAnsi="Microsoft JhengHei" w:eastAsia="Microsoft JhengHei"/>
      <w:color w:val="24364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83B6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45A81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83B63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