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R05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R05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資料生命週期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檢索成功率＝正確找到文件及有效版次的測試數 ÷ 有效測試總數。耗時至少呈現中位數及第95百分位（P95），並保留每次原始秒數、樣本數及統計口徑。分母為零標示不適用；沒有測試時標示未測，不填零。</w:t>
      </w:r>
    </w:p>
    <w:p>
      <w:pPr>
        <w:pStyle w:val="Heading1"/>
        <w:keepNext/>
      </w:pPr>
      <w:r>
        <w:t>6. 直接追溯與證據清單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592"/>
        <w:gridCol w:w="1872"/>
      </w:tblGrid>
      <w:tr>
        <w:trPr>
          <w:tblHeader w:val="true"/>
          <w:cantSplit/>
        </w:trPr>
        <w:tc>
          <w:tcPr>
            <w:tcW w:type="dxa" w:w="3168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304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59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187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</w:t>
            </w:r>
          </w:p>
        </w:tc>
        <w:tc>
          <w:tcPr>
            <w:tcW w:type="dxa" w:w="2304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分類索引、權限版控、查詢、改善與複測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尚未取得現行系統／測試證據；本稿為設計工具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待填原件位置及覆核人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