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R06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R06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2"/>
        <w:keepNext/>
      </w:pPr>
      <w:r>
        <w:t>查核要求對照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592"/>
        <w:gridCol w:w="1872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304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59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187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</w:t>
            </w:r>
          </w:p>
        </w:tc>
        <w:tc>
          <w:tcPr>
            <w:tcW w:type="dxa" w:w="2304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分類索引、權限版控、查詢、改善與複測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尚未取得現行系統／測試證據；本稿為設計工具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待填原件位置及覆核人</w:t>
            </w:r>
          </w:p>
        </w:tc>
      </w:tr>
    </w:tbl>
    <w:p>
      <w:pPr>
        <w:pStyle w:val="Heading1"/>
        <w:keepNext/>
      </w:pPr>
      <w:r>
        <w:t>1. 資料生命週期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檢索成功率＝正確找到文件及有效版次的測試數 ÷ 有效測試總數。耗時至少呈現中位數及第95百分位（P95），並保留每次原始秒數、樣本數及統計口徑。分母為零標示不適用；沒有測試時標示未測，不填零。</w:t>
      </w:r>
    </w:p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