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討論會議及電子郵件紀錄管理規範與索引表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I09-E04｜指標 9｜文件 0044｜草案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建立討論、會議與電子郵件紀錄的形成、確認、簽核、存檔、檢索及保存控制。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先看六階段流程、紀錄索引、權限與保存規則及檢索測試表。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本會核定權限、保存年限、實際會議／郵件原件及簽核檔。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一、管理目的與適用紀錄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本作業稿供本會建立討論、會議及電子郵件的留存、簽核、歸檔與檢索控制。電話或即時訊息如形成課程設計或決策依據，應由承辦人製作摘要並連結原始訊息；摘要不得冒充原始郵件或會議紀錄。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二、建檔與簽核流程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圖1｜討論、會議及電子郵件紀錄生命週期</w:t>
      </w:r>
    </w:p>
    <w:p>
      <w:pPr>
        <w:spacing w:before="20" w:after="40"/>
      </w:pPr>
      <w:r>
        <w:rPr>
          <w:sz w:val="15"/>
          <w:rFonts w:eastAsia="Microsoft JhengHei"/>
        </w:rPr>
        <w:t>實際簽核、歸檔及檢索狀態須以協會原始紀錄核對。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形成紀錄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內容核實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權責簽核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歸檔索引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權限檢索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備份保存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400"/>
        <w:gridCol w:w="3168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操作要求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完成檢核／紀錄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形成紀錄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記錄目的、時間、參與角色、討論事項、原始意見、決議及附件；區分事實與摘要。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欄位完整；附件能開啟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確認內容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由紀錄承辦人及適當的參與者核對；更正保留日期、版本及修正軌跡。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確認方式或簽核紀錄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權責簽核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依本會核定權限表簽核；簽核人、日期及核定結論須可讀回。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有效核簽版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以唯一編號連結主檔與附件；標註課程、議題、版本、來源及保存位置。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主索引與檔案位置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檢索與備份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限授權角色讀取；定期測試檢索及備份可讀性。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檢索測試與備份檢核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封存或銷毀</w:t>
            </w:r>
          </w:p>
        </w:tc>
        <w:tc>
          <w:tcPr>
            <w:tcW w:type="dxa" w:w="54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依本會核定保存年限及適用規定辦理；未確認年限前不設定具體期限。</w:t>
            </w:r>
          </w:p>
        </w:tc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核准的保存規則與處置紀錄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三、紀錄編碼與檔案索引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建議欄位：年度或期間－指標／課程代碼－紀錄類型－流水號－版本。正式格式由本會核定；不得在同一編號下覆寫已簽核原件。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1368"/>
        <w:gridCol w:w="1728"/>
        <w:gridCol w:w="1296"/>
        <w:gridCol w:w="2376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紀錄ID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類型／主題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日期／版本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承辦／覆核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簽核狀態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檔案／附件位置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會議／討論／電子郵件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四、電子郵件及往返意見留存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保留寄件者、收件者、日期時間、主旨及完整往返脈絡；需附檔時一併保存原件。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涉及核准、課程修訂、資源或決議的郵件，另連結對應議題、版本與權責簽核。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個人資料按需要最小化並限制存取；轉寄或匯出時不得遺失原件來源及時間資訊。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如以摘要代替即時溝通紀錄，標示摘要作者、製作日期及可核驗的來源，不得補寫對方未確認的內容。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080"/>
        <w:gridCol w:w="1512"/>
        <w:gridCol w:w="1224"/>
        <w:gridCol w:w="1656"/>
        <w:gridCol w:w="295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測試日期／範圍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抽測件數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成功找到件數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成功率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中位秒數／P95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缺失及改善追蹤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成功找到件數 ÷ 抽測件數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測試方法、檢索關鍵字及樣本抽取規則應先記錄。沒有測試資料時不填成功率或檢索時間。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討論、會議與 E-mail 保留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紀錄ID、完整內容、版本、附件、來源與存放位置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待實際紀錄與檔案索引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簽核後存檔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核簽權限、核簽版、歸檔位置及檢索測試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待核定權限與真實簽核檔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所有的討論、 會議或E-mail均留有完整紀錄並經簽核後存檔。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1"/>
        <w:keepNext/>
        <w:pageBreakBefore/>
      </w:pPr>
      <w:r>
        <w:t>附表：資料分類、命名與文件主檔</w:t>
      </w:r>
    </w:p>
    <w:p>
      <w:pPr>
        <w:widowControl/>
      </w:pPr>
      <w:r>
        <w:t>正式分類、權限及保存年限由本會核定；每一份討論、會議及電子郵件紀錄均要能連結原件、版本、核簽及附件。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類別／議題／課程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形成者／覆核者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版本／簽核狀態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保存／權限級別</w:t>
            </w:r>
          </w:p>
        </w:tc>
        <w:tc>
          <w:tcPr>
            <w:tcW w:type="dxa" w:w="1668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原件／附件位置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會議／討論／電子郵件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68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附表：檢索、備份與資料品質抽測</w:t>
      </w:r>
    </w:p>
    <w:p>
      <w:pPr>
        <w:widowControl/>
      </w:pPr>
      <w:r>
        <w:t>抽測前定義有效測試與正確答案；記錄成功與失敗，不以成功案例單獨代表整體查詢能力。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母體／抽樣規則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關鍵字／權限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實際結果／秒數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備份／復原／錯誤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覆核／改善ID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檢索成功率＝找到正確文件及有效版次的測試數 ÷ 有效測試數。中位數及 P95 以逐次秒數計算，並記錄樣本數及口徑；分母為零或尚未測試時標示不適用／未測，不填零。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討論會議及電子郵件紀錄管理規範與索引表</dc:title>
  <dc:subject>所有的討論、 會議或E-mail均留有完整紀錄並經簽核後存檔。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