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R03</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快速閱讀</w:t>
            </w:r>
          </w:p>
        </w:tc>
        <w:tc>
          <w:tcPr>
            <w:tcW w:type="dxa" w:w="845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文件編號</w:t>
            </w:r>
          </w:p>
        </w:tc>
        <w:tc>
          <w:tcPr>
            <w:tcW w:type="dxa" w:w="20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版次</w:t>
            </w:r>
          </w:p>
        </w:tc>
        <w:tc>
          <w:tcPr>
            <w:tcW w:type="dxa" w:w="244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狀態</w:t>
            </w:r>
          </w:p>
        </w:tc>
        <w:tc>
          <w:tcPr>
            <w:tcW w:type="dxa" w:w="38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待編</w:t>
            </w:r>
          </w:p>
        </w:tc>
        <w:tc>
          <w:tcPr>
            <w:tcW w:type="dxa" w:w="2016"/>
            <w:vAlign w:val="center"/>
            <w:tcMar>
              <w:top w:w="58" w:type="dxa"/>
              <w:start w:w="78" w:type="dxa"/>
              <w:bottom w:w="58" w:type="dxa"/>
              <w:end w:w="78" w:type="dxa"/>
            </w:tcMar>
          </w:tcPr>
          <w:p>
            <w:pPr>
              <w:keepLines/>
              <w:spacing w:before="0" w:after="0" w:line="245" w:lineRule="auto"/>
            </w:pPr>
            <w:r>
              <w:t>草案 R03</w:t>
            </w:r>
            <w:r>
              <w:rPr>
                <w:rFonts w:ascii="Microsoft JhengHei" w:hAnsi="Microsoft JhengHei" w:eastAsia="Microsoft JhengHei"/>
                <w:b w:val="0"/>
                <w:color w:val="24364B"/>
                <w:sz w:val="15"/>
              </w:rPr>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課程識別欄位</w:t>
            </w:r>
          </w:p>
        </w:tc>
        <w:tc>
          <w:tcPr>
            <w:tcW w:type="dxa" w:w="71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p>
      <w:pPr>
        <w:jc w:val="center"/>
        <w:spacing w:before="20" w:after="40"/>
      </w:pPr>
      <w:r>
        <w:rPr>
          <w:b/>
          <w:sz w:val="17"/>
          <w:rFonts w:eastAsia="Microsoft JhengHei"/>
        </w:rPr>
        <w:t>圖1｜單元目標至達標證據鏈</w:t>
      </w:r>
    </w:p>
    <w:p>
      <w:pPr>
        <w:spacing w:before="20" w:after="40"/>
      </w:pPr>
      <w:r>
        <w:rPr>
          <w:sz w:val="15"/>
          <w:rFonts w:eastAsia="Microsoft JhengHei"/>
        </w:rPr>
        <w:t>本圖呈現設計檢核邏輯；實際達成須以有效評量資料判定。</w:t>
      </w:r>
    </w:p>
    <w:tbl>
      <w:tblPr>
        <w:tblW w:type="auto" w:w="0"/>
        <w:jc w:val="center"/>
        <w:tblLayout w:type="fixed"/>
        <w:tblLook w:firstColumn="1" w:firstRow="1" w:lastColumn="0" w:lastRow="0" w:noHBand="0" w:noVBand="1" w:val="04A0"/>
      </w:tblPr>
      <w:tblGrid>
        <w:gridCol w:w="910"/>
        <w:gridCol w:w="910"/>
        <w:gridCol w:w="910"/>
        <w:gridCol w:w="910"/>
        <w:gridCol w:w="910"/>
        <w:gridCol w:w="910"/>
        <w:gridCol w:w="910"/>
        <w:gridCol w:w="910"/>
        <w:gridCol w:w="910"/>
        <w:gridCol w:w="910"/>
        <w:gridCol w:w="910"/>
      </w:tblGrid>
      <w:tr>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核定目標</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單元產出</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教學內容</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練習活動</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評量標準</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5"/>
              </w:rPr>
              <w:t>達標證據</w:t>
            </w:r>
          </w:p>
        </w:tc>
      </w:tr>
    </w:tbl>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單元／時數</w:t>
            </w:r>
          </w:p>
        </w:tc>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對應目標</w:t>
            </w:r>
          </w:p>
        </w:tc>
        <w:tc>
          <w:tcPr>
            <w:tcW w:type="dxa" w:w="180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可觀察學習產出</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內容／活動／教材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評量方法與標準</w:t>
            </w:r>
          </w:p>
        </w:tc>
        <w:tc>
          <w:tcPr>
            <w:tcW w:type="dxa" w:w="13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檢核點</w:t>
            </w:r>
          </w:p>
        </w:tc>
        <w:tc>
          <w:tcPr>
            <w:tcW w:type="dxa" w:w="576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判斷問題</w:t>
            </w:r>
          </w:p>
        </w:tc>
        <w:tc>
          <w:tcPr>
            <w:tcW w:type="dxa" w:w="273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四、問題處理與審查</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單元／問題</w:t>
            </w:r>
          </w:p>
        </w:tc>
        <w:tc>
          <w:tcPr>
            <w:tcW w:type="dxa" w:w="194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差距及來源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修訂內容／版本</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審查意見與理由</w:t>
            </w:r>
          </w:p>
        </w:tc>
        <w:tc>
          <w:tcPr>
            <w:tcW w:type="dxa" w:w="187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3"/>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6"/>
        </w:rPr>
        <w:t>達標判定須以核定目標、教學與評量設計，以及真實執行和評量資料相互核對。規劃階段只能判定「設計對應已完成／待補」，不能宣稱學員已達成。</w:t>
      </w:r>
    </w:p>
    <w:p>
      <w:pPr>
        <w:pStyle w:val="Heading2"/>
        <w:keepNext/>
        <w:keepLines/>
        <w:spacing w:before="80" w:after="48"/>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檢核點</w:t>
            </w:r>
          </w:p>
        </w:tc>
        <w:tc>
          <w:tcPr>
            <w:tcW w:type="dxa" w:w="49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欄位／方法</w:t>
            </w:r>
          </w:p>
        </w:tc>
        <w:tc>
          <w:tcPr>
            <w:tcW w:type="dxa" w:w="280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角色</w:t>
            </w:r>
          </w:p>
        </w:tc>
        <w:tc>
          <w:tcPr>
            <w:tcW w:type="dxa" w:w="237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姓名／職務</w:t>
            </w:r>
          </w:p>
        </w:tc>
        <w:tc>
          <w:tcPr>
            <w:tcW w:type="dxa" w:w="35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意見或決定</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5"/>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查核要求</w:t>
            </w:r>
          </w:p>
        </w:tc>
        <w:tc>
          <w:tcPr>
            <w:tcW w:type="dxa" w:w="112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來源</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本稿欄位／指標</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目前結果</w:t>
            </w:r>
          </w:p>
        </w:tc>
        <w:tc>
          <w:tcPr>
            <w:tcW w:type="dxa" w:w="165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證據位置</w:t>
            </w:r>
          </w:p>
        </w:tc>
        <w:tc>
          <w:tcPr>
            <w:tcW w:type="dxa" w:w="1541"/>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4"/>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keepLines/>
        <w:spacing w:before="0" w:after="20" w:line="254" w:lineRule="auto"/>
      </w:pPr>
      <w:r>
        <w:rPr>
          <w:rFonts w:ascii="Microsoft JhengHei" w:hAnsi="Microsoft JhengHei" w:eastAsia="Microsoft JhengHei"/>
          <w:b w:val="0"/>
          <w:color w:val="24364B"/>
          <w:sz w:val="16"/>
        </w:rPr>
        <w:t>正式使用前須以本會原始資料替換空白欄位，核對人員、日期、版本及附件；完成權責審查與核定後再填正式簽核及保存位置。未發生事項不得填為已發生；涉及健康教育及傳統整復推拿內容時，維持非醫療教育表述，不宣稱診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