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R11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R11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圖1｜文件生命週期與查詢改善</w:t>
      </w:r>
    </w:p>
    <w:p>
      <w:pPr>
        <w:spacing w:before="20" w:after="40"/>
      </w:pPr>
      <w:r>
        <w:rPr>
          <w:sz w:val="15"/>
          <w:rFonts w:eastAsia="Microsoft JhengHei"/>
        </w:rPr>
        <w:t>實際權限、保存年限、調閱及復原結果須依本會核定制度與測試紀錄確認。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形成收件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分類命名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版本登錄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權限保存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查詢調閱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備份改善</w:t>
            </w:r>
          </w:p>
        </w:tc>
      </w:tr>
    </w:tbl>
    <w:p>
      <w:pPr>
        <w:keepLines/>
        <w:spacing w:before="0" w:after="80"/>
      </w:pPr>
      <w:r>
        <w:t>作業流向：收受原件 → 核對來源與必要欄位 → 分類、命名及登錄 → 依核定權限版控與保存 → 查詢調閱 → 備份及復原測試 → 檢查缺失並改善。資料不全先標記待補；未核定的保存或權限規則不自行推定。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r>
              <w:t>資料品質與更正</w:t>
            </w:r>
          </w:p>
        </w:tc>
        <w:tc>
          <w:tcPr>
            <w:tcW w:type="dxa" w:w="2480"/>
            <w:vAlign w:val="center"/>
          </w:tcPr>
          <w:p>
            <w:r>
              <w:t>登錄時核對文件ID、來源、日期／期間、名稱、責任角色、版次、權限級別、位置及保存依據；更正須連結原件並記錄異動前後值。</w:t>
            </w:r>
          </w:p>
        </w:tc>
        <w:tc>
          <w:tcPr>
            <w:tcW w:type="dxa" w:w="2480"/>
            <w:vAlign w:val="center"/>
          </w:tcPr>
          <w:p>
            <w:r>
              <w:t>必要欄缺漏、來源無法驗真或版次衝突時標記待補並暫停作證；不得覆寫原件。</w:t>
            </w:r>
          </w:p>
        </w:tc>
        <w:tc>
          <w:tcPr>
            <w:tcW w:type="dxa" w:w="2480"/>
            <w:vAlign w:val="center"/>
          </w:tcPr>
          <w:p>
            <w:r>
              <w:t>欄位與覆核頻率待協會核定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keepLines/>
        <w:widowControl/>
      </w:pPr>
      <w:r>
        <w:t>檢索成功率＝正確找到文件及有效版次的測試數 ÷ 有效測試總數。耗時呈現中位數及第95百分位（P95）：中位數取排序後中央值，偶數筆取中間兩值平均；P95以最近秩 ceil(0.95×n) 取值，並同列樣本數、期間與口徑。分母為零標示不適用；沒有測試標示未測，不填零。改善目標尚待核定，未核定前只報實測值。</w:t>
      </w:r>
    </w:p>
    <w:p>
      <w:pPr>
        <w:pStyle w:val="Heading2"/>
        <w:keepNext/>
      </w:pPr>
      <w:r>
        <w:t>指標判讀與處置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456"/>
      </w:tblGrid>
      <w:tr>
        <w:trPr>
          <w:tblHeader/>
          <w:cantSplit/>
        </w:trPr>
        <w:tc>
          <w:tcPr>
            <w:tcW w:type="dxa" w:w="237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訊號／差異</w:t>
            </w:r>
          </w:p>
        </w:tc>
        <w:tc>
          <w:tcPr>
            <w:tcW w:type="dxa" w:w="3960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判讀與先行處理</w:t>
            </w:r>
          </w:p>
        </w:tc>
        <w:tc>
          <w:tcPr>
            <w:tcW w:type="dxa" w:w="345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決定及追蹤欄位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未達核定目標或P95偏高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先核對期間、有效樣本、查詢範圍與口徑；目標未核定時只描述實測差異，不判定達標。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開改善ID；填原因證據、責任角色、期限、複測條件與覆核。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缺件、錯版或查無原件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確認主檔位置、索引欄位與有效版次；暫停將該筆列為成功，保留失敗紀錄。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記錄失敗類別與來源位置；修正索引後依相同條件複測。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權限拒絕或疑似個資超用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停止擴散或匯出；保留存取紀錄，交由待核定之權責角色依規則處理。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記錄事件、處置依據、核准角色與回復權限條件。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沒有測試或有效樣本為零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標記未測／不適用，安排測試；不得填零或推稱功能有效。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記錄待測範圍、排程責任角色與完成後的證據位置。</w:t>
            </w:r>
          </w:p>
        </w:tc>
      </w:tr>
    </w:tbl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