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圖1｜指標趨勢／前後比較空白圖框（待真實資料）</w:t>
      </w:r>
    </w:p>
    <w:p>
      <w:pPr>
        <w:spacing w:before="20" w:after="40"/>
      </w:pPr>
      <w:r>
        <w:rPr>
          <w:sz w:val="15"/>
          <w:rFonts w:eastAsia="Microsoft JhengHei"/>
        </w:rPr>
        <w:t>目前沒有協會實際指標值，圖框不繪製數值或趨勢；填入前須先核定指標、單位、期間及母體。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5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再驗證期</w:t>
            </w:r>
          </w:p>
        </w:tc>
      </w:tr>
    </w:tbl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