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訓練執行評估指標與統計分析報告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I15-E03｜指標 15｜工作稿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依已核定指標、真實分母與原始資料分析訓練執行結果，指出差距、原因證據、限制及再驗證安排。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資料範圍品質、指標公式、結果判讀、改善決策及下一次驗證。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訓練執行評估指標分析及相關統計分析。</w:t>
      </w:r>
    </w:p>
    <w:p>
      <w:pPr>
        <w:widowControl/>
      </w:pPr>
      <w:r>
        <w:t>依已核定指標、真實分母與原始資料分析訓練執行結果，指出差距、原因證據、限制及再驗證安排。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分析問題、範圍與判定門檻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分析問題／指標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定義／計算口徑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判定門檻來源／版本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統計期間／母體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</w:tbl>
    <w:p>
      <w:pPr>
        <w:pStyle w:val="Heading1"/>
        <w:keepNext/>
      </w:pPr>
      <w:r>
        <w:t>2. 資料來源與品質檢核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來源ID／原件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欄位／指標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期間／版本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應有筆數／母體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有效數／缺值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排除與理由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一致性／覆核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分析前先核對來源版本、去重、有效樣本、缺值、排除條件與分母；出勤以應到／實到人次定義，評量以有效受評人數定義。分母不清、來源不完整或統計期間不一致時不得計算或下結論。</w:t>
      </w:r>
    </w:p>
    <w:p>
      <w:pPr>
        <w:pStyle w:val="Heading1"/>
        <w:keepNext/>
      </w:pPr>
      <w:r>
        <w:t>3. 原始指標輸入及計算結果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分子／分母／有效N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計算公式／結果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差距原因、限制與改善決策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指標／差距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需求／設計／執行／追蹤階段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已證實原因及證據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待驗證假設／替代解釋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限制／風險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差距＝實績－目標。改善率＝（改善後－改善前）÷改善前；基準為零、缺值或單位不同時標示不適用或待資料，不作除法。相關性或前後差異不能單獨證明因果。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圖1｜指標趨勢／前後比較空白圖框（待真實資料）</w:t>
      </w:r>
    </w:p>
    <w:p>
      <w:pPr>
        <w:spacing w:before="20" w:after="40"/>
      </w:pPr>
      <w:r>
        <w:rPr>
          <w:sz w:val="15"/>
          <w:rFonts w:eastAsia="Microsoft JhengHei"/>
        </w:rPr>
        <w:t>目前沒有協會實際指標值，圖框不繪製數值或趨勢；填入前須先核定指標、單位、期間及母體。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4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4"/>
              </w:rPr>
              <w:t>再驗證期</w:t>
            </w:r>
          </w:p>
        </w:tc>
      </w:tr>
    </w:tbl>
    <w:p>
      <w:pPr>
        <w:widowControl/>
      </w:pPr>
      <w:r>
        <w:t>以下是可編輯的趨勢圖資料框；目前沒有本會真實數值，因此不繪製或暗示任何結果。核定指標、單位、期間及來源後，按同一分母補值並製作圖表。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圖表期點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指標值／單位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母體／N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追蹤期一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追蹤期二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再驗證期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視覺讀圖順序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追蹤期二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同一核定指標／同一單位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</w:tr>
    </w:tbl>
    <w:p>
      <w:pPr>
        <w:pStyle w:val="Heading1"/>
        <w:keepNext/>
      </w:pPr>
      <w:r>
        <w:t>6. 分析結論、核定與證據索引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結論／判定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支持資料與公式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缺漏／限制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決策狀態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證據路徑／覆核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原始資料／覆核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訓練執行評估指標分析及相關統計分析。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指標輸入、分母、統計分析、差距原因、改善與再驗證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尚無協會分析結果原件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官方要求：訓練執行評估指標分析及相關統計分析。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