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師資教材及合作廠商評選紀錄表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I10-E01｜指標 10｜文件 0046｜草案 R05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依事前訂定之資格、品質、價格與風險標準，記錄候選比較、利益揭露、審查決定及後續驗收索引。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先看事前標準、候選原始證據、評分理由、迴避及核准欄。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候選人／廠商真實資歷、報價、權限核准、契約與驗收原件。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R05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一、使用說明與資源需求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每一資源需求及評選案件各填一份。適用於內部或外聘講師、教材及合作廠商；不適用類別填「不適用」並說明。空白列不是候選人或廠商，禁止預填分數或決議。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128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案件欄位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課程／需求編號與版本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資源類型及需求原因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□講師 □教材 □合作廠商 □其他；用途及課程目標待填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規格與必要資格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待填；至少列出必要條件、驗證方式及不合格處理規則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預算來源／核定權限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待填；核定前不得承諾採購、聘任或支出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評選標準、權重、日期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待填；須於接收或比較候選結果前訂定並留證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二、資格與候選資料核對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232"/>
        <w:gridCol w:w="2592"/>
        <w:gridCol w:w="1944"/>
        <w:gridCol w:w="17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候選編號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資格／文件來源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必要條件逐項核對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缺件／風險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審查結論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 A（待填）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 B（待填）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 C（待填）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三、事前評分標準與比較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181"/>
        <w:gridCol w:w="2131"/>
        <w:gridCol w:w="2131"/>
        <w:gridCol w:w="2117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評估項目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權重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A 分數／證據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B 分數／證據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C 分數／證據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資格及需求符合性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內容品質與適切性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交付／教學／支援能力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成本與條件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風險、保密與履約可行性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合計與排名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合計權重 100%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待計算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待計算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待計算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尺度建議：1 無法滿足且風險高；2 部分符合、需重大補正；3 符合基本要求；4 符合且有優點；5 高度符合且有可核驗佐證。加權分＝評分×權重；總分＝各項加權分合計。必要資格不合格者不得以總分抵銷。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四、利益關係揭露與審查紀錄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76"/>
        <w:gridCol w:w="2736"/>
        <w:gridCol w:w="2952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審查者角色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是否有關係／利益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揭露內容／日期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迴避或覆核措施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3096"/>
        <w:gridCol w:w="21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討論事項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比較依據與意見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選擇／未選理由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決議／核准證據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候選比較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價格或例外事項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迴避、異議或補件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五、採購、聘用及履約追蹤欄位</w:t>
      </w:r>
    </w:p>
    <w:p>
      <w:pPr/>
      <w:r>
        <w:t>履約達成率＝已完成且經驗收驗證的履約KPI數 ÷ 應完成履約KPI數。須記錄統計期間、未完成原因及原始驗收證據；尚無契約／交付紀錄或分母未核實時標「待資料／不適用」，不填零。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待填欄位／核驗證據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核准與採購／聘任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核定人、日期、預算、採購或聘任依據、原件位置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契約／訂單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文件編號、雙方、範圍、交付、付款、保密及變更條款；無原件不填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驗收／交付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規格、實際交付、差異、補正、驗收者及日期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履約管理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品質、時效、支援、缺失與改善追蹤；附來源及統計期間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歸檔索引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評選資料、原始報價或資歷、會議紀錄、核准及契約位置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六、評選案件結案與歸檔完整性檢核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040"/>
        <w:gridCol w:w="1944"/>
        <w:gridCol w:w="122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檢核資料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應有原件／核對內容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證據編號／位置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覆核狀態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需求及規格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課程需求、必要條件、驗收標準及預算權限依據。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候選來源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取得方式、候選資格原件及補件往返紀錄。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事前評選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已核定的評分標準、權重、版本及訂定時間。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審查與利益揭露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實際評分理由、意見、異議、迴避及核定原件。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採購或聘任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核准、訂單／契約、價格與雙方簽署原件。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交付及履約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驗收、缺失補正、履約評估及改善追蹤。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官方依據與真實資料狀態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依據：TTQS 人才發展品質管理系統《查核佐證文件資料表－訓練機構版》第 3 頁；官方勾選要求：「完整文書手冊與紀錄分析相關資料（具體明確紀錄展現課程設計時，有適當的流程進行師資、教材或合作廠商評估選擇，且流程應有適當的辦法進行評估、採購、簽約及後續管理作業流程）。」本稿提供可填寫的訪談／評選工具，不是本會已執行的訪談、統計、評選或採購紀錄；目前實際資料、原始附件及證據位置待補核。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同指標歷史文件僅供表單欄位脈絡參考；本空表不代表任何候選者或評選已存在。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師資教材及合作廠商評選紀錄表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