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圖1｜訓練成果移轉路徑</w:t>
      </w:r>
    </w:p>
    <w:p>
      <w:pPr>
        <w:spacing w:before="20" w:after="40"/>
      </w:pPr>
      <w:r>
        <w:rPr>
          <w:sz w:val="17"/>
          <w:rFonts w:eastAsia="Microsoft JhengHei"/>
        </w:rPr>
        <w:t>追蹤時點、對象及結果均須依實際可追蹤母體與原始紀錄填列。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課程所學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個人行動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情境實踐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支持協助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定期追蹤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佐證判定</w:t>
            </w:r>
          </w:p>
        </w:tc>
      </w:tr>
    </w:tbl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