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訓後綜合檢討及管理審查會議紀錄表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I15-E01｜指標 15｜工作稿 R02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記錄訓後實際召開的綜合檢討或管理審查，確保證據、意見、決議、責任、期限及追蹤完整。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會議實際召開資料、逐案討論、異議／未採納理由、核准及後續追蹤。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訓後定期性綜合檢討或管理審查制度會議紀錄。</w:t>
      </w:r>
    </w:p>
    <w:p>
      <w:pPr>
        <w:widowControl/>
      </w:pPr>
      <w:r>
        <w:t>記錄訓後實際召開的綜合檢討或管理審查，確保證據、意見、決議、責任、期限及追蹤完整。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會議基本資料與召集依據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會議ID／類型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日期／時間／方式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主席／紀錄角色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檢討期間／課程版本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召集／權限依據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通知／議程／位置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實際召開後填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2. 出席、列席與前置資料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角色／單位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應出席／實際出席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出席證據／時間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利益／迴避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前置資料ID／版本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閱讀狀態／缺件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3. 逐案討論、意見及決議</w:t>
      </w:r>
    </w:p>
    <w:p>
      <w:pPr>
        <w:widowControl/>
      </w:pPr>
      <w:r>
        <w:t>每個議題分列一筆；會議未召開前保留空白。討論內容記載意見來源與證據，不以事後摘要替代原始紀錄。未採納意見須記原因；決議須列條件、待辦、責任及期限。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議題／證據ID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期間／資料口徑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事實與不同意見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未採納理由／限制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決議／條件／狀態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課程目標／執行差異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學員評量／回饋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資源／財務運用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原始憑證待填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異常／風險／安全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改善與下一次驗證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</w:pPr>
      <w:r>
        <w:t>4. 決議追蹤與結案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決議ID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責任角色／人員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期限／核定條件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執行狀態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覆核者／日期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延期／升級處理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決議完成率＝到期且有證據完成的決議數 ÷ 檢視期間到期決議數。未到期、撤銷或延期須另列；分母為零或會議未發生時標示不適用，不填零。</w:t>
      </w:r>
    </w:p>
    <w:p>
      <w:pPr>
        <w:pStyle w:val="Heading1"/>
        <w:keepNext/>
      </w:pPr>
      <w:r>
        <w:t>5. 附件索引、核對及簽認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附件ID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附件／原件名稱及版本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日期／來源／頁碼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保存位置／權限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與議題／決議關聯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核對狀態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紀錄角色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姓名／職務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核對範圍／意見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日期／簽認／原件位置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紀錄者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與通知、出席、意見、決議及附件核對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待實際完成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覆核者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逐案事實、異議、期限及附件核對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待實際完成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核定者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依核定權責填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核准／退回及理由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待實際核定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官方要求：訓後定期性綜合檢討或管理審查制度會議紀錄。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