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JhengHei" w:hAnsi="Microsoft JhengHei" w:eastAsia="Microsoft JhengHei" w:cs="Microsoft JhengHei"/>
          <w:b/>
          <w:i w:val="0"/>
          <w:color w:val="000000"/>
          <w:sz w:val="46"/>
        </w:rPr>
        <w:t>訓練班級完整結案報告</w:t>
      </w:r>
    </w:p>
    <w:p>
      <w:pPr>
        <w:keepNext/>
        <w:keepLines/>
        <w:spacing w:before="0" w:after="40" w:line="252" w:lineRule="auto"/>
      </w:pPr>
      <w:r>
        <w:rPr>
          <w:b/>
          <w:sz w:val="21"/>
        </w:rPr>
        <w:t>這份文件要證明什麼？</w:t>
      </w:r>
      <w:r>
        <w:t xml:space="preserve"> </w:t>
      </w:r>
      <w:r>
        <w:rPr>
          <w:sz w:val="21"/>
        </w:rPr>
        <w:t>示範如何彙整一個訓練班的執行、成果、資源收支、檢討與改善。</w:t>
      </w:r>
    </w:p>
    <w:p>
      <w:pPr>
        <w:keepNext/>
        <w:keepLines/>
        <w:pageBreakBefore w:val="0"/>
        <w:spacing w:before="0" w:after="40" w:line="252" w:lineRule="auto"/>
      </w:pPr>
      <w:r>
        <w:rPr>
          <w:b/>
          <w:sz w:val="21"/>
        </w:rPr>
        <w:t>我們怎麼做？</w:t>
      </w:r>
      <w:r>
        <w:br/>
      </w:r>
      <w:r>
        <w:rPr>
          <w:sz w:val="21"/>
        </w:rPr>
        <w:t>①核對班次及原始紀錄；②比對訓練目標、執行與評量；③檢視收支、回饋及異常；④提出待核定改善並列明證據。　責任：班務承辦及獨立覆核角色待指定。</w:t>
      </w:r>
      <w:r>
        <w:br/>
      </w:r>
      <w:r>
        <w:rPr>
          <w:b/>
          <w:sz w:val="21"/>
        </w:rPr>
        <w:t>目前狀態：</w:t>
      </w:r>
      <w:r>
        <w:rPr>
          <w:sz w:val="21"/>
        </w:rPr>
        <w:t>全文數字為合成示例，不是協會實際班級、付款、評量或訓練成果。</w:t>
      </w:r>
    </w:p>
    <w:p>
      <w:pPr>
        <w:keepLines/>
        <w:spacing w:before="0" w:after="80" w:line="252" w:lineRule="auto"/>
      </w:pPr>
      <w:r>
        <w:rPr>
          <w:b/>
          <w:sz w:val="21"/>
        </w:rPr>
        <w:t>評核委員先看：</w:t>
      </w:r>
      <w:r>
        <w:t xml:space="preserve"> </w:t>
      </w:r>
      <w:r>
        <w:rPr>
          <w:sz w:val="21"/>
        </w:rPr>
        <w:t>合成案例摘要、第12節學習評量、第17至19節檢討與改善、第20節附件與證據索引。</w:t>
      </w:r>
    </w:p>
    <w:p>
      <w:r>
        <w:rPr>
          <w:rFonts w:ascii="Microsoft JhengHei" w:hAnsi="Microsoft JhengHei" w:eastAsia="Microsoft JhengHei" w:cs="Microsoft JhengHei"/>
          <w:b/>
          <w:i w:val="0"/>
          <w:color w:val="9C2F2F"/>
          <w:sz w:val="22"/>
        </w:rPr>
        <w:t>合成示例，非協會實際紀錄</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本文件是可編輯的結案示例，並非協會辦訓、核定、付款、成績、回饋或改善實績。所有示例日期、數值、比例及假設已列入隨附的合成示例替換清單；未核實資料、核准、簽章及第三方證據均標示 尚待補入正式原始資料。</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合成示範稿｜工作稿 0.1</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 至 2026-06-19（合成示例）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keepLines/>
              <w:spacing w:after="0" w:before="0" w:line="245" w:lineRule="auto"/>
            </w:pPr>
            <w:r>
              <w:t>指標15：成果檢討與改善班級結案：需求、目標、執行、資源財務、成果、檢討及改善</w:t>
            </w:r>
            <w:r>
              <w:rPr>
                <w:rFonts w:ascii="Microsoft JhengHei" w:hAnsi="Microsoft JhengHei" w:eastAsia="Microsoft JhengHei" w:cs="Microsoft JhengHei"/>
                <w:b w:val="0"/>
                <w:i w:val="0"/>
                <w:color w:val="20262D"/>
                <w:sz w:val="17"/>
              </w:rPr>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7"/>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支出預算差異率-2.2%。收入資料尚未取得，不填列實際收入，也不以0代替；收支差額暫不計算。另有2份有效評量未達70分，建議下一班增加結構化練習並以同口徑驗證。這些數據僅示範結案分析，不代表協會實績。</w:t>
      </w:r>
    </w:p>
    <w:p>
      <w:pPr>
        <w:pStyle w:val="Heading1"/>
        <w:keepNext/>
        <w:keepLines/>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cantSplit/>
        </w:trPr>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本次填列</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健康教育與傳統整復推拿技術示範班（合成示例）</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完整度示範；真實結案及核定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keepLines/>
        <w:spacing w:before="180" w:after="60"/>
      </w:pPr>
      <w:r>
        <w:rPr>
          <w:rFonts w:ascii="Microsoft JhengHei" w:hAnsi="Microsoft JhengHei" w:eastAsia="Microsoft JhengHei" w:cs="Microsoft JhengHei"/>
          <w:b/>
          <w:i w:val="0"/>
          <w:color w:val="000000"/>
          <w:sz w:val="28"/>
        </w:rPr>
        <w:t>02 指標15：成果檢討與改善官方要求的直接回應與適用情境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已核實來源資料記載指標15的評核意義為定期課後檢討與改善，檢討應呈現學員建議、訓練需求、目標及方法。指標8、指標16、指標17a、指標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7"/>
        </w:rPr>
        <w:t>表1 指標15：成果檢討與改善要求與本報告證據追溯表（示例結果／原件待補）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cantSplit/>
        </w:trPr>
        <w:tc>
          <w:tcPr>
            <w:tcW w:type="dxa" w:w="103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要求</w:t>
            </w:r>
          </w:p>
        </w:tc>
        <w:tc>
          <w:tcPr>
            <w:tcW w:type="dxa" w:w="148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資料來源</w:t>
            </w:r>
          </w:p>
        </w:tc>
        <w:tc>
          <w:tcPr>
            <w:tcW w:type="dxa" w:w="146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欄位／指標</w:t>
            </w:r>
          </w:p>
        </w:tc>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126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本報告位置</w:t>
            </w:r>
          </w:p>
        </w:tc>
        <w:tc>
          <w:tcPr>
            <w:tcW w:type="dxa" w:w="313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覆核／原件</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資源運用</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計畫與執行欄</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人力、日數、時數、場地</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2日、12小時；角色數見第10節</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第10節表1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簽到、排程、設備紀錄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財務支配</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合成案例預算表</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規劃額、支出、差異率</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18,000元；17,600元；-2.2%</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第11節表1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核定、憑證、付款、帳簿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訓練成果</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合成評量及回饋</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出席、分數、及格率、滿意度</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91.7%；82分；81.8%；4.4/5</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第6、12、13、17節及圖1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簽到、測驗、問卷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檢討改善</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差距分析與待驗證假設</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問題、措施、責任、期限</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2份未達70分；增加引導練習</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第17至19節</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檢討決議及驗證紀錄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keepLines/>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結案問題</w:t>
            </w:r>
          </w:p>
        </w:tc>
        <w:tc>
          <w:tcPr>
            <w:tcW w:type="dxa" w:w="38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示例／真實狀態</w:t>
            </w:r>
          </w:p>
        </w:tc>
        <w:tc>
          <w:tcPr>
            <w:tcW w:type="dxa" w:w="42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分析及待補欄位</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誰需要本班？</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合成案例假設有相關學習需求；無真人名單。</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填入需求對象、樣本數、來源及日期；真實調查 尚待補入正式原始資料。</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需求如何確認？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未提供市場調查或訪談結果。</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附問卷、訪談、職能分析等原件；不得以本示例替代。</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為何採此範圍？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概念、安全界線、示範、引導練習及評量。</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keepLines/>
        <w:pageBreakBefore/>
        <w:spacing w:before="180" w:after="60"/>
      </w:pPr>
      <w:r>
        <w:rPr>
          <w:rFonts w:ascii="Microsoft JhengHei" w:hAnsi="Microsoft JhengHei" w:eastAsia="Microsoft JhengHei" w:cs="Microsoft JhengHei"/>
          <w:b/>
          <w:i w:val="0"/>
          <w:color w:val="000000"/>
          <w:sz w:val="28"/>
        </w:rPr>
        <w:t>04 原定訓練目標</w:t>
      </w:r>
    </w:p>
    <w:p>
      <w:pPr>
        <w:keepNext/>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示例判準</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衡量方式</w:t>
            </w:r>
          </w:p>
        </w:tc>
        <w:tc>
          <w:tcPr>
            <w:tcW w:type="dxa" w:w="38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真實原始欄位</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G1 知識提升</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後測平均≥75/100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同一有效樣本前後測平均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試卷、原始分數及核定目標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G2 評量達標</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至少80%達70分</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及格人數÷有效受評人數</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規準、分數、樣本定義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G3 參訓投入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實到人次÷應到人次</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班表、逐次簽到、補課規則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G4 學員感受</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回饋平均≥4.2/5</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有效量表平均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問卷、版本、有效回覆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keepLines/>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cantSplit/>
        </w:trPr>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環節</w:t>
            </w:r>
          </w:p>
        </w:tc>
        <w:tc>
          <w:tcPr>
            <w:tcW w:type="dxa" w:w="33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計畫／示例執行情境</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結案判讀</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真實紀錄</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課程主題</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與明示核心方向相連，不等於核定課程。</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核定名稱、班次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期間</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2026-06-18至19；2日、12小時</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示例作計畫與使用比較。</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課表、簽到、授課紀錄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教學序列</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概念及安全界線→示範→練習→評量回饋</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提供評量及改善脈絡。</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教案、講義、日誌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keepLines/>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合成數值</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口徑／算式</w:t>
            </w:r>
          </w:p>
        </w:tc>
        <w:tc>
          <w:tcPr>
            <w:tcW w:type="dxa" w:w="36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報名人數</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案例彙總，不列姓名</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應到人次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24</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12人×2日</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核定班表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逐次人次合計</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簽到及補課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24－22</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缺席原因及聯繫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91.7%</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實到÷應到＝22÷24</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keepLines/>
        <w:pageBreakBefore/>
        <w:spacing w:before="180" w:after="60"/>
      </w:pPr>
      <w:r>
        <w:rPr>
          <w:rFonts w:ascii="Microsoft JhengHei" w:hAnsi="Microsoft JhengHei" w:eastAsia="Microsoft JhengHei" w:cs="Microsoft JhengHei"/>
          <w:b/>
          <w:i w:val="0"/>
          <w:color w:val="000000"/>
          <w:sz w:val="28"/>
        </w:rPr>
        <w:t>07 師資執行</w:t>
      </w:r>
    </w:p>
    <w:p>
      <w:pPr>
        <w:keepNext/>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角色</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合成工作內容</w:t>
            </w:r>
          </w:p>
        </w:tc>
        <w:tc>
          <w:tcPr>
            <w:tcW w:type="dxa" w:w="41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原件須證明</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依教案講授、示範、引導練習及評量。</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姓名、資格、經歷、合約、出勤、授課紀錄。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行政支援（1）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示例負責報到、教材、場地及資料彙整。</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承辦人、分工、個資授權及紀錄。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keepLines/>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方法／教材</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295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示例結果／差距</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真實原件</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概念講義與短講</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建立健康教育及安全界線。</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示例包含概念環節；理解須經評量。</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講義版本及授課紀錄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逐步示範與提示卡</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分解步驟，供練習比對。</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合成回饋建議增加順序提示。</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教案、教材、使用紀錄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引導練習及檢核表</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記錄理解與待補強項目。</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建議下班增20分鐘結構化練習。</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檢核表、日誌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評量及反思</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把目標、結果、回饋連到改善。</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第12至18節示範分析鏈。</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題本、問卷、檢討紀錄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keepLines/>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項目</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計畫需求</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合成案例使用</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教學空間</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講授及示範空間，2日。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示例使用2日。</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預約、租用、場勘、清潔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投影設備</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支援概念說明及步驟展示。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借用、測試、故障紀錄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練習區與清潔備品</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依安全界線安排示範練習。</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配置、消毒及風險檢核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keepLines/>
        <w:pageBreakBefore/>
        <w:spacing w:before="180" w:after="60"/>
      </w:pPr>
      <w:r>
        <w:rPr>
          <w:rFonts w:ascii="Microsoft JhengHei" w:hAnsi="Microsoft JhengHei" w:eastAsia="Microsoft JhengHei" w:cs="Microsoft JhengHei"/>
          <w:b/>
          <w:i w:val="0"/>
          <w:color w:val="000000"/>
          <w:sz w:val="28"/>
        </w:rPr>
        <w:t>10 人力與資源</w:t>
      </w:r>
    </w:p>
    <w:p>
      <w:pPr>
        <w:keepNext/>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7"/>
        </w:rPr>
        <w:t>表1 計畫vs實際總表（合成示例）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資源</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計畫量</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示例實際量</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差異／判讀</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真實證明</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報名人數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上課日數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課表及簽到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淨訓練時數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相符；每日6小時</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授課日誌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角色數相符；資格未核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師資資料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行政支援角色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角色數相符；真人未核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工作分派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場地使用</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示例排程相符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預約及使用憑證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keepLines/>
        <w:spacing w:before="180" w:after="60"/>
      </w:pPr>
      <w:r>
        <w:rPr>
          <w:rFonts w:ascii="Microsoft JhengHei" w:hAnsi="Microsoft JhengHei" w:eastAsia="Microsoft JhengHei" w:cs="Microsoft JhengHei"/>
          <w:b/>
          <w:i w:val="0"/>
          <w:color w:val="000000"/>
          <w:sz w:val="28"/>
        </w:rPr>
        <w:t>11 支出預算與收支差額口徑</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7"/>
        </w:rPr>
        <w:t>表1 支出規劃與示例支出比較表（新臺幣；合成示例）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cantSplit/>
        </w:trPr>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科目</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示例規劃額</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示例支出</w:t>
            </w:r>
          </w:p>
        </w:tc>
        <w:tc>
          <w:tcPr>
            <w:tcW w:type="dxa" w:w="2664"/>
            <w:vAlign w:val="center"/>
            <w:tcMar>
              <w:top w:w="65" w:type="dxa"/>
              <w:start w:w="80" w:type="dxa"/>
              <w:bottom w:w="65" w:type="dxa"/>
              <w:end w:w="80" w:type="dxa"/>
            </w:tcMar>
            <w:shd w:fill="E6EDF3"/>
          </w:tcPr>
          <w:p>
            <w:pPr>
              <w:keepLines/>
              <w:spacing w:after="0" w:before="0" w:line="245" w:lineRule="auto"/>
            </w:pPr>
            <w:r>
              <w:t>差異（示例支出－示例規劃額）</w:t>
            </w:r>
            <w:r>
              <w:rPr>
                <w:rFonts w:ascii="Microsoft JhengHei" w:hAnsi="Microsoft JhengHei" w:eastAsia="Microsoft JhengHei" w:cs="Microsoft JhengHei"/>
                <w:b/>
                <w:i w:val="0"/>
                <w:color w:val="20262D"/>
                <w:sz w:val="17"/>
              </w:rPr>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場地使用</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教材與耗材</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2,700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教學支援</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行政與設備</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2,900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合計</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17,600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-400</w:t>
            </w:r>
          </w:p>
        </w:tc>
      </w:tr>
      <w:tr>
        <w:trPr>
          <w:cantSplit/>
        </w:trPr>
        <w:tc>
          <w:tcPr>
            <w:tcW w:type="dxa" w:w="316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收入資料（非支出科目）</w:t>
            </w:r>
          </w:p>
        </w:tc>
        <w:tc>
          <w:tcPr>
            <w:tcW w:type="dxa" w:w="2160"/>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尚未取得；不填列實際收入</w:t>
            </w:r>
          </w:p>
        </w:tc>
        <w:tc>
          <w:tcPr>
            <w:tcW w:type="dxa" w:w="208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尚未取得；不以0代替</w:t>
            </w:r>
          </w:p>
        </w:tc>
        <w:tc>
          <w:tcPr>
            <w:tcW w:type="dxa" w:w="2664"/>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7"/>
              </w:rPr>
              <w:t>收支差額暫不計算</w:t>
            </w:r>
          </w:p>
        </w:tc>
      </w:tr>
    </w:tbl>
    <w:p>
      <w:pPr/>
      <w:r>
        <w:t>本表目前為成本／支出預算規劃，收入資料尚未取得，因此不填列實際收入；正式核定或執行時再依原始憑證補入。收支差額＝實際／核定收入－實際／核定支出；收入尚未取得時，收支差額＝暫不計算，不填0。表內合計僅加總四項支出；「支出差異」仍是示例支出－示例規劃額，不能與收支差額混稱。</w:t>
      </w:r>
    </w:p>
    <w:p>
      <w:pPr>
        <w:spacing w:after="20"/>
      </w:pPr>
    </w:p>
    <w:p>
      <w:pPr>
        <w:keepLines/>
        <w:spacing w:after="80" w:line="264" w:lineRule="auto"/>
      </w:pPr>
      <w:r>
        <w:rPr>
          <w:rFonts w:ascii="Microsoft JhengHei" w:hAnsi="Microsoft JhengHei" w:eastAsia="Microsoft JhengHei" w:cs="Microsoft JhengHei"/>
          <w:b w:val="0"/>
          <w:i w:val="0"/>
          <w:color w:val="20262D"/>
          <w:sz w:val="18"/>
        </w:rPr>
        <w:t>支出預算差異率＝（示例支出－示例規劃額）÷示例規劃額＝（17,600－18,000）÷18,000＝-2.22%，顯示為-2.2%。負值表示示例支出低於示例規劃額；這不是收入減支出的收支淨額。</w:t>
      </w:r>
    </w:p>
    <w:p>
      <w:pPr>
        <w:keepLines/>
        <w:spacing w:before="20" w:after="120"/>
      </w:pPr>
      <w:r>
        <w:rPr>
          <w:rFonts w:ascii="Microsoft JhengHei" w:hAnsi="Microsoft JhengHei" w:eastAsia="Microsoft JhengHei" w:cs="Microsoft JhengHei"/>
          <w:b/>
          <w:i w:val="0"/>
          <w:color w:val="31465A"/>
          <w:sz w:val="17"/>
        </w:rPr>
        <w:t>判讀／處置與下一步：四項支出科目合計為18,000元規劃額、17,600元示例支出，支出差異為-400元，算術相符；差額落在教材耗材及行政設備。收入尚未取得，因此收支差額暫不計算。下一步以核定預算、收入／補助原件、支出憑證、付款及帳簿查明真實收支。</w:t>
      </w:r>
      <w:r>
        <w:rPr>
          <w:rFonts w:ascii="Microsoft JhengHei" w:hAnsi="Microsoft JhengHei" w:eastAsia="Microsoft JhengHei" w:cs="Microsoft JhengHei"/>
          <w:b w:val="0"/>
          <w:i w:val="0"/>
          <w:color w:val="20262D"/>
          <w:sz w:val="17"/>
        </w:rPr>
      </w:r>
    </w:p>
    <w:p>
      <w:pPr>
        <w:pStyle w:val="Heading1"/>
        <w:keepNext/>
        <w:keepLines/>
        <w:pageBreakBefore/>
        <w:spacing w:before="180" w:after="60"/>
      </w:pPr>
      <w:r>
        <w:rPr>
          <w:rFonts w:ascii="Microsoft JhengHei" w:hAnsi="Microsoft JhengHei" w:eastAsia="Microsoft JhengHei" w:cs="Microsoft JhengHei"/>
          <w:b/>
          <w:i w:val="0"/>
          <w:color w:val="000000"/>
          <w:sz w:val="28"/>
        </w:rPr>
        <w:t>12 學習評量結果</w:t>
      </w:r>
    </w:p>
    <w:p>
      <w:pPr>
        <w:keepNext/>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keepLines/>
        <w:spacing w:before="80" w:after="40"/>
      </w:pPr>
      <w:r>
        <w:rPr>
          <w:rFonts w:ascii="Microsoft JhengHei" w:hAnsi="Microsoft JhengHei" w:eastAsia="Microsoft JhengHei" w:cs="Microsoft JhengHei"/>
          <w:b/>
          <w:i w:val="0"/>
          <w:color w:val="35485A"/>
          <w:sz w:val="17"/>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樣本／計算</w:t>
            </w:r>
          </w:p>
        </w:tc>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目標及差距</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後續處置</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前後測平均</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11份有效配對</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62→82；+20分</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門檻75；高7分</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保留同版測驗供比較</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達70分人數</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9／11名有效受評者</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及格率81.8%</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門檻80%；高1.8百分點；2人未達</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7"/>
        </w:rPr>
        <w:t>圖1 學習成果與滿意度摘要圖（合成示例，非協會實際紀錄）</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指標</w:t>
            </w:r>
          </w:p>
        </w:tc>
        <w:tc>
          <w:tcPr>
            <w:tcW w:type="dxa" w:w="1181"/>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46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量尺占比</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示例基準</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前測平均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62/100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比較值</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82/100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目標≥75</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達70分及格率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81.8%</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目標≥80%</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學員滿意度</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7"/>
              </w:rPr>
              <w:t>4.4/5</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目標≥4.2/5</w:t>
            </w:r>
          </w:p>
        </w:tc>
      </w:tr>
    </w:tbl>
    <w:p>
      <w:pPr>
        <w:keepLines/>
        <w:spacing w:after="80" w:line="264" w:lineRule="auto"/>
      </w:pPr>
      <w:r>
        <w:rPr>
          <w:rFonts w:ascii="Microsoft JhengHei" w:hAnsi="Microsoft JhengHei" w:eastAsia="Microsoft JhengHei" w:cs="Microsoft JhengHei"/>
          <w:b w:val="0"/>
          <w:i w:val="0"/>
          <w:color w:val="20262D"/>
          <w:sz w:val="17"/>
        </w:rPr>
        <w:t>長條按滿分量尺換算；滿意度以5分為滿分。精確結果見本節表格與第17節，全部均為合成示例。</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keepLines/>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來源</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與目標／評量關係</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學員滿意度</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10份；平均4.4/5</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高於示例門檻4.2/5。</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問卷、量表、計算表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學員改進建議</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7/10份希望增加操作或提示</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呼應2份評量未達的補強假設。</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逐題回覆原件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授課角色回饋</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示例摘要：增加步驟提示卡。</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供修訂教案，不是根因定論。</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實際授課者回饋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keepLines/>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登錄類型</w:t>
            </w:r>
          </w:p>
        </w:tc>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合成結果</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處理／判讀</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實際紀錄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傷害事件</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0件</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合成案例狀態，非協會安全實績。</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事故／近失通報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停課或重大中斷</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示例依2日排程完成。</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授課日誌、異動紀錄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學習差距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2份未達70分</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轉入第17至19節分析與改善。</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分數、輔導、複測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出勤差距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缺勤2人次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核對聯繫、補課與結訓規則。</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簽到及聯繫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keepLines/>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控制面向</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結案檢視</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合成案例呈現</w:t>
            </w:r>
          </w:p>
        </w:tc>
        <w:tc>
          <w:tcPr>
            <w:tcW w:type="dxa" w:w="30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課程界線</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內容是否符合適用規範</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不作診斷或治療；僅為示例。</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課程審查及資格核實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學員安全</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提醒、停止條件、求助及通報</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合成案例傷害事件0件；非實際紀錄。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安全說明、場勘、事故及近失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個人資料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目的、告知、存取、保存及刪除</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示例僅展示彙總數、不列真人資料。</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告知同意、權限及保存規則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第三方資料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師資、場地、費用及合作證明</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不生成仿真證書、簽章、報價或合約。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第三方原件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keepLines/>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追蹤欄位</w:t>
            </w:r>
          </w:p>
        </w:tc>
        <w:tc>
          <w:tcPr>
            <w:tcW w:type="dxa" w:w="34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可直接使用的問題</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時點／判讀</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應用情境</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您在哪種情境運用本班學習？</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結訓後第30日啟動；不預設有應用。</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實際追蹤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執行障礙</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遇到哪些限制、風險或不清楚之處？</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分類為知識、技能、設備、規範或其他。</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所需支援</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需要補充練習、教材或其他協助嗎？</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回連第18節改善及下班設計。</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決議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回覆與處理</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日期、方式、紀錄位置、處理人、結論</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建立原件定位及覆核欄。</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keepLines/>
        <w:pageBreakBefore/>
        <w:spacing w:before="180" w:after="60"/>
      </w:pPr>
      <w:r>
        <w:rPr>
          <w:rFonts w:ascii="Microsoft JhengHei" w:hAnsi="Microsoft JhengHei" w:eastAsia="Microsoft JhengHei" w:cs="Microsoft JhengHei"/>
          <w:b/>
          <w:i w:val="0"/>
          <w:color w:val="000000"/>
          <w:sz w:val="28"/>
        </w:rPr>
        <w:t>17 目標達成分析與問題根因</w:t>
      </w:r>
    </w:p>
    <w:p>
      <w:pPr>
        <w:keepNext/>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cantSplit/>
        </w:trPr>
        <w:tc>
          <w:tcPr>
            <w:tcW w:type="dxa" w:w="12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目標</w:t>
            </w:r>
          </w:p>
        </w:tc>
        <w:tc>
          <w:tcPr>
            <w:tcW w:type="dxa" w:w="184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示例目標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示例結果</w:t>
            </w:r>
          </w:p>
        </w:tc>
        <w:tc>
          <w:tcPr>
            <w:tcW w:type="dxa" w:w="204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差距／判定</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檢討及根因假設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G1 知識</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後測≥75/100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82/100</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+7分；達標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平均提升不排除個別題項差距。</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G2 評量</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及格率≥80%；70分線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9/11＝81.8%</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+1.8百分點；達標；2人未達</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提示或重複練習不足僅是假設。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G3 出席</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22/24＝91.7%</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+1.7百分點；達標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缺勤2人次須查原因及補課。</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G4 感受</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平均≥4.2/5</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4.4/5（10份）</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+0.2；達標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keepLines/>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問題／假設</w:t>
            </w:r>
          </w:p>
        </w:tc>
        <w:tc>
          <w:tcPr>
            <w:tcW w:type="dxa" w:w="256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合成改善措施</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責任角色（非真人）</w:t>
            </w:r>
          </w:p>
        </w:tc>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示例期限</w:t>
            </w:r>
          </w:p>
        </w:tc>
        <w:tc>
          <w:tcPr>
            <w:tcW w:type="dxa" w:w="23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驗證／狀態</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2/11未達70分；練習不足待驗</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增加20分鐘結構化練習及步驟檢核卡。</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課程設計＋授課角色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下一班教案確認前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同一70分規準；未核定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7/10希望更多情境操作</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加入情境題及兩人互檢欄，記錄卡點。</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授課＋行政支援角色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教材定稿前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逐題回饋；未執行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示例支出少400元</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比對真實核定額、憑證及科目，說明差異。</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財務承辦角色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結案送審前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帳簿、憑證及覆核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keepLines/>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改善項目</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下一班測量方式</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示例判準／基線</w:t>
            </w:r>
          </w:p>
        </w:tc>
        <w:tc>
          <w:tcPr>
            <w:tcW w:type="dxa" w:w="24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結果欄位</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結構化練習</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同一規準；記錄有效樣本、及格人數與未達項目。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及格率≥90%；對照案例81.8%。</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原始分數、分母、覆核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情境回饋</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同量表記錄練習充分度及待支援項目。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滿意度≥4.2/5並比較具體建議。</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問卷、樣本、彙總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出席及資源</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簽到、場地與角色紀錄核對。</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出席率≥90%；逐項計畫實際比較。</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簽到及資源表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課後轉移</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依真實結訓日安排第30日追蹤。</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記錄應用、障礙及支援，不預設結果。</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keepLines/>
        <w:pageBreakBefore/>
        <w:spacing w:before="180" w:after="60"/>
      </w:pPr>
      <w:r>
        <w:rPr>
          <w:rFonts w:ascii="Microsoft JhengHei" w:hAnsi="Microsoft JhengHei" w:eastAsia="Microsoft JhengHei" w:cs="Microsoft JhengHei"/>
          <w:b/>
          <w:i w:val="0"/>
          <w:color w:val="000000"/>
          <w:sz w:val="28"/>
        </w:rPr>
        <w:t>20 附件與證據索引</w:t>
      </w:r>
    </w:p>
    <w:p>
      <w:pPr>
        <w:keepNext/>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cantSplit/>
        </w:trPr>
        <w:tc>
          <w:tcPr>
            <w:tcW w:type="dxa" w:w="60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項次</w:t>
            </w:r>
          </w:p>
        </w:tc>
        <w:tc>
          <w:tcPr>
            <w:tcW w:type="dxa" w:w="36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需索引原件</w:t>
            </w:r>
          </w:p>
        </w:tc>
        <w:tc>
          <w:tcPr>
            <w:tcW w:type="dxa" w:w="12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章節</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位置／狀態</w:t>
            </w:r>
          </w:p>
        </w:tc>
        <w:tc>
          <w:tcPr>
            <w:tcW w:type="dxa" w:w="239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覆核</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需求調查、開課決策及核定課程</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名冊、班表、逐次簽到及缺席補課</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5–6</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3</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師資資格、聘任、教案及授課日誌</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7–8</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場地、設備點檢、安全說明及事件紀錄</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9、14–15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5</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核定預算、會計憑證、付款及分類帳</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10–11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6</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試卷、規準、原始分數及成績彙總</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12、17</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7</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學員／講師問卷、檢討及改善決議</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13、17–19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8</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追蹤、下一班驗證及完成證據</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16、18–19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9</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個資告知、核定簽章及第三方真實文件</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15、21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人員／日期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keepLines/>
        <w:spacing w:before="0" w:after="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6192"/>
        <w:gridCol w:w="2160"/>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程序欄位</w:t>
            </w:r>
          </w:p>
        </w:tc>
        <w:tc>
          <w:tcPr>
            <w:tcW w:type="dxa" w:w="61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應填內容</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目前狀態</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編製</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姓名／職務、日期、依據原件</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內容覆核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覆核者、數據及附件查核結果、日期</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核定預算、憑證、差異原因及帳務結論</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審查決議</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會議／審查編號、決議、未結事項</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核定／簽章</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有權核定者、日期、簽章或正式紀錄</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真實編製、覆核及核定欄完成前，維持合成示範稿。下一步依權責流程取得簽核原件，不由示例推定批准。</w:t>
      </w:r>
    </w:p>
    <w:p>
      <w:pPr>
        <w:pStyle w:val="Heading1"/>
        <w:keepNext/>
        <w:keepLines/>
        <w:spacing w:before="180" w:after="60"/>
      </w:pPr>
      <w:r>
        <w:rPr>
          <w:rFonts w:ascii="Microsoft JhengHei" w:hAnsi="Microsoft JhengHei" w:eastAsia="Microsoft JhengHei" w:cs="Microsoft JhengHei"/>
          <w:b/>
          <w:i w:val="0"/>
          <w:color w:val="000000"/>
          <w:sz w:val="28"/>
        </w:rPr>
        <w:t>22 指標15：成果檢討與改善補入真實資料檢核與替換清單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尚待補入正式原始資料。</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756"/>
        <w:gridCol w:w="2376"/>
        <w:gridCol w:w="4392"/>
        <w:gridCol w:w="1655"/>
      </w:tblGrid>
      <w:tr>
        <w:trPr>
          <w:tblHeader w:val="true"/>
          <w:cantSplit/>
        </w:trPr>
        <w:tc>
          <w:tcPr>
            <w:tcW w:type="dxa" w:w="175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待替換欄位</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本稿合成例</w:t>
            </w:r>
          </w:p>
        </w:tc>
        <w:tc>
          <w:tcPr>
            <w:tcW w:type="dxa" w:w="43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須取得真實原件／查核</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狀態</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班別、課程、日期</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示範班；2026-06-18至19</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核定課程、班次、正式課表、授課日期</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需求、目標、方法</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四項門檻與需求假設</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調查、核定目標、教案與規準版本</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學員及出勤</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12人；應到24；實到22</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名冊、簽到、缺席／補課、結訓資格</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師資與資源</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授課角色1、支援角色1、場地2日</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人員資格、分工、場地及設備紀錄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pageBreakBefore/>
              <w:spacing w:after="0" w:before="0" w:line="245" w:lineRule="auto"/>
            </w:pPr>
            <w:r/>
            <w:r>
              <w:rPr>
                <w:rFonts w:ascii="Microsoft JhengHei" w:hAnsi="Microsoft JhengHei" w:eastAsia="Microsoft JhengHei" w:cs="Microsoft JhengHei"/>
                <w:b w:val="0"/>
                <w:i w:val="0"/>
                <w:color w:val="20262D"/>
                <w:sz w:val="17"/>
              </w:rPr>
              <w:t>評量與回饋</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11份評量；9人及格；10份回饋</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原始試卷、分數、問卷、計算表</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財務收支</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規劃18,000元；支出17,600元</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核定預算、憑證、付款、分類帳</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安全與個資</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傷害事件0件；中斷0次</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事故、近失、安全、個資及存取紀錄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追蹤與改善</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結訓後第30日；增加20分鐘練習</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追蹤、決議、責任人、日期、完成證據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審查、核定、附件位置</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未填真人、簽章或外部原件</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覆核／核定紀錄與真實檔名、頁碼、路徑</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0" w:after="0"/>
      </w:pPr>
      <w:r>
        <w:rPr>
          <w:rFonts w:ascii="Microsoft JhengHei" w:hAnsi="Microsoft JhengHei" w:eastAsia="Microsoft JhengHei" w:cs="Microsoft JhengHei"/>
          <w:b/>
          <w:i w:val="0"/>
          <w:color w:val="35485A"/>
          <w:sz w:val="17"/>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5112"/>
        <w:gridCol w:w="3384"/>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問題</w:t>
            </w:r>
          </w:p>
        </w:tc>
        <w:tc>
          <w:tcPr>
            <w:tcW w:type="dxa" w:w="51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僅就合成案例的回答</w:t>
            </w:r>
          </w:p>
        </w:tc>
        <w:tc>
          <w:tcPr>
            <w:tcW w:type="dxa" w:w="33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直接定位／正式替換</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目標是否達成？</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4項示例目標均達門檻；2/11份評量未達70分。</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第17節；換入真實目標及評量。</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未達真正原因？</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班級目標無未達項；個人差距原因未證實，練習提示不足只是待驗假設。</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第13、17節；查題項、回饋及授課紀錄。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資源與財務合理？</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資源量與排程相符；少400元、差異率-2.2%，原因待憑證確認。</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第10、11節；補預算、帳簿、憑證及覆核。</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下一班怎驗證？</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加20分鐘結構化練習，以同規準檢查及格率是否達90%，並比較回饋及第30日追蹤。</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第18、19節；下一班結果尚未發生。</w:t>
            </w:r>
          </w:p>
        </w:tc>
      </w:tr>
      <w:tr>
        <w:trPr>
          <w:cantSplit/>
        </w:trPr>
        <w:tc>
          <w:tcPr>
            <w:tcW w:type="dxa" w:w="1800"/>
            <w:vAlign w:val="center"/>
            <w:tcMar>
              <w:top w:w="65" w:type="dxa"/>
              <w:start w:w="80" w:type="dxa"/>
              <w:bottom w:w="65" w:type="dxa"/>
              <w:end w:w="80" w:type="dxa"/>
            </w:tcMar>
          </w:tcPr>
          <w:p>
            <w:pPr>
              <w:keepLines/>
              <w:spacing w:after="0" w:before="0" w:line="245" w:lineRule="auto"/>
            </w:pPr>
            <w:r>
              <w:t>哪裡直接證明指標15：成果檢討與改善？</w:t>
            </w:r>
            <w:r>
              <w:rPr>
                <w:rFonts w:ascii="Microsoft JhengHei" w:hAnsi="Microsoft JhengHei" w:eastAsia="Microsoft JhengHei" w:cs="Microsoft JhengHei"/>
                <w:b w:val="0"/>
                <w:i w:val="0"/>
                <w:color w:val="20262D"/>
                <w:sz w:val="17"/>
              </w:rPr>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第2節追溯表連到資源、財務、成果及改善；第10至19節承接分析。</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以第20節真實原件索引及第21節核定紀錄升格。</w:t>
            </w:r>
          </w:p>
        </w:tc>
      </w:tr>
    </w:tbl>
    <w:p>
      <w:pPr>
        <w:spacing w:after="20"/>
      </w:pPr>
    </w:p>
    <w:p>
      <w:pPr>
        <w:keepNext/>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判讀／處置與下一步：本節提供替換清單、判讀、改善驗證及官方要求的直接證據路徑；缺少原件的欄位是未完成的補入真實資料工作，不是核定結論。</w:t>
      </w:r>
      <w:r>
        <w:rPr>
          <w:rFonts w:ascii="Microsoft JhengHei" w:hAnsi="Microsoft JhengHei" w:eastAsia="Microsoft JhengHei" w:cs="Microsoft JhengHei"/>
          <w:b w:val="0"/>
          <w:i w:val="0"/>
          <w:color w:val="20262D"/>
          <w:sz w:val="17"/>
        </w:rPr>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合成示範稿 ｜ 真實原件與核定資料 尚待補入正式原始資料 ｜ 指標15：成果檢討與改善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合成示例，非協會實際紀錄</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dc:title>
  <dc:subject>可讀性修訂工作稿；真實狀態與原始證據界線依正文標示</dc:subject>
  <dc:creator>OpenAI Codex Builder</dc:creator>
  <cp:keywords>I15-E02, SYNTHETIC EXAMPLE, DRAFT_SYNTHETIC; sequence_id=0066; requirement_id=I15-E02; source_candidate_sha256=a94983b0a38fa350a2a8e759477aa62ebce35f8d973391d29c07c6dca8e4357c</cp:keywords>
  <dc:description>R06 single layout-only repair. Pagination settings keep section 20 with its evidence index, section 17 with its full table, and the closing replacement register balanced across final pages; no substantive content changed.</dc:description>
  <cp:lastModifiedBy/>
  <cp:revision>1</cp:revision>
  <dcterms:created xsi:type="dcterms:W3CDTF">2013-12-23T23:15:00Z</dcterms:created>
  <dcterms:modified xsi:type="dcterms:W3CDTF">2013-12-23T23:15:00Z</dcterms:modified>
  <cp:category/>
</cp:coreProperties>
</file>