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after="20"/>
      </w:pPr>
      <w:r>
        <w:rPr>
          <w:rFonts w:ascii="Microsoft JhengHei" w:hAnsi="Microsoft JhengHei" w:eastAsia="Microsoft JhengHei"/>
          <w:b/>
          <w:color w:val="183B63"/>
          <w:sz w:val="36"/>
        </w:rPr>
        <w:t>資訊系統化程度及檢索速度評估表</w:t>
      </w:r>
    </w:p>
    <w:p>
      <w:pPr>
        <w:keepNext/>
        <w:keepLines/>
        <w:spacing w:before="0" w:after="40" w:line="250" w:lineRule="auto"/>
      </w:pPr>
      <w:r>
        <w:rPr>
          <w:rFonts w:ascii="Microsoft JhengHei" w:hAnsi="Microsoft JhengHei" w:eastAsia="Microsoft JhengHei"/>
          <w:b w:val="0"/>
          <w:color w:val="245A81"/>
          <w:sz w:val="17"/>
        </w:rPr>
        <w:t>I14-E05｜指標 14｜草案：待確認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</w:trPr>
        <w:tc>
          <w:tcPr>
            <w:tcW w:type="dxa" w:w="1000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FFF2CC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工作稿｜尚待填入本會真實資料並完成審議核定；不代表課程已辦理、流程已核准、聘任已成立、證明已取得或成果已發生。</w:t>
            </w:r>
          </w:p>
        </w:tc>
      </w:tr>
    </w:tbl>
    <w:p>
      <w:pPr>
        <w:spacing w:after="6" w:line="132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381"/>
      </w:tblGrid>
      <w:tr>
        <w:trPr>
          <w:tblHeader w:val="true"/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先看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說明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文件用途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以明確口徑盤點資料系統化程度並記錄實際檢索測試速度。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怎麼使用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先界定範圍與樣本，再逐次計時；結論只依原始證據，不預填績效。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評核先看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本表的流程／檢核／追溯欄位及其後附的真實原始證據索引。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目前狀態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只有官方查核要求及空白工作稿；協會現行作法、紀錄、核定與成果均待查證或補入。</w:t>
            </w:r>
          </w:p>
        </w:tc>
      </w:tr>
    </w:tbl>
    <w:p>
      <w:pPr>
        <w:spacing w:after="10" w:line="132" w:lineRule="auto"/>
      </w:pPr>
    </w:p>
    <w:p>
      <w:pPr>
        <w:pStyle w:val="Heading2"/>
        <w:keepNext/>
        <w:keepLines/>
        <w:spacing w:before="60" w:after="40"/>
      </w:pPr>
      <w:r>
        <w:rPr>
          <w:rFonts w:ascii="Microsoft JhengHei" w:hAnsi="Microsoft JhengHei" w:eastAsia="Microsoft JhengHei"/>
          <w:b/>
          <w:color w:val="245A81"/>
          <w:sz w:val="20"/>
        </w:rPr>
        <w:t>官方查核要求</w:t>
      </w:r>
    </w:p>
    <w:p>
      <w:pPr>
        <w:keepLines/>
        <w:spacing w:before="0" w:after="40" w:line="250" w:lineRule="auto"/>
      </w:pPr>
      <w:r>
        <w:rPr>
          <w:rFonts w:ascii="Microsoft JhengHei" w:hAnsi="Microsoft JhengHei" w:eastAsia="Microsoft JhengHei"/>
          <w:b w:val="0"/>
          <w:color w:val="24364B"/>
          <w:sz w:val="17"/>
        </w:rPr>
        <w:t>資訊系統化程度及檢索速度。</w:t>
      </w:r>
    </w:p>
    <w:p>
      <w:pPr>
        <w:pStyle w:val="Heading1"/>
        <w:keepNext/>
        <w:keepLines/>
        <w:spacing w:before="120" w:after="40"/>
      </w:pPr>
      <w:r>
        <w:rPr>
          <w:rFonts w:ascii="Microsoft JhengHei" w:hAnsi="Microsoft JhengHei" w:eastAsia="Microsoft JhengHei"/>
          <w:b/>
          <w:color w:val="183B63"/>
          <w:sz w:val="24"/>
        </w:rPr>
        <w:t>一、評估目的與測量口徑</w:t>
      </w:r>
    </w:p>
    <w:p>
      <w:pPr>
        <w:keepLines/>
        <w:spacing w:before="0" w:after="44" w:line="250" w:lineRule="auto"/>
      </w:pPr>
      <w:r>
        <w:rPr>
          <w:rFonts w:ascii="Microsoft JhengHei" w:hAnsi="Microsoft JhengHei" w:eastAsia="Microsoft JhengHei"/>
          <w:b w:val="0"/>
          <w:color w:val="24364B"/>
          <w:sz w:val="18"/>
        </w:rPr>
        <w:t>本表用來盤點訓練資料管理的系統化程度，並以實際查詢測試量測檢索速度。先選定期間、範圍、樣本與計時起訖，再記錄原始結果；本稿不代表協會已完成系統化或達到任何速度。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4824"/>
        <w:gridCol w:w="3269"/>
      </w:tblGrid>
      <w:tr>
        <w:trPr>
          <w:tblHeader w:val="true"/>
          <w:cantSplit/>
        </w:trPr>
        <w:tc>
          <w:tcPr>
            <w:tcW w:type="dxa" w:w="180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指標</w:t>
            </w:r>
          </w:p>
        </w:tc>
        <w:tc>
          <w:tcPr>
            <w:tcW w:type="dxa" w:w="482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計算／判讀方法</w:t>
            </w:r>
          </w:p>
        </w:tc>
        <w:tc>
          <w:tcPr>
            <w:tcW w:type="dxa" w:w="326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需保存的原始資料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索引建置率</w:t>
            </w:r>
          </w:p>
        </w:tc>
        <w:tc>
          <w:tcPr>
            <w:tcW w:type="dxa" w:w="482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已建立必要索引欄位的文件數 ÷ 抽查文件總數 × 100%。</w:t>
            </w:r>
          </w:p>
        </w:tc>
        <w:tc>
          <w:tcPr>
            <w:tcW w:type="dxa" w:w="326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抽樣清單、應有欄位與逐件核對結果。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查詢成功率</w:t>
            </w:r>
          </w:p>
        </w:tc>
        <w:tc>
          <w:tcPr>
            <w:tcW w:type="dxa" w:w="482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找到正確文件且版次的測試次數 ÷ 有效測試次數 × 100%。</w:t>
            </w:r>
          </w:p>
        </w:tc>
        <w:tc>
          <w:tcPr>
            <w:tcW w:type="dxa" w:w="326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每次條件、預期文件、實際文件及判定。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檢索耗時</w:t>
            </w:r>
          </w:p>
        </w:tc>
        <w:tc>
          <w:tcPr>
            <w:tcW w:type="dxa" w:w="482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記錄每次從開始查詢至確認正確文件／版次的秒數；另報中位數。</w:t>
            </w:r>
          </w:p>
        </w:tc>
        <w:tc>
          <w:tcPr>
            <w:tcW w:type="dxa" w:w="326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逐次計時值、計時方式及例外說明。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版本辨識率</w:t>
            </w:r>
          </w:p>
        </w:tc>
        <w:tc>
          <w:tcPr>
            <w:tcW w:type="dxa" w:w="482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正確辨識有效版與作廢版次數 ÷ 版本測試次數 × 100%。</w:t>
            </w:r>
          </w:p>
        </w:tc>
        <w:tc>
          <w:tcPr>
            <w:tcW w:type="dxa" w:w="326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含多版本的測試案例及答案核對。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改善完成率</w:t>
            </w:r>
          </w:p>
        </w:tc>
        <w:tc>
          <w:tcPr>
            <w:tcW w:type="dxa" w:w="482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期限內完成且複測有效的改善件數 ÷ 到期改善件數 × 100%。</w:t>
            </w:r>
          </w:p>
        </w:tc>
        <w:tc>
          <w:tcPr>
            <w:tcW w:type="dxa" w:w="326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改善清單、期限、複測及覆核紀錄。</w:t>
            </w:r>
          </w:p>
        </w:tc>
      </w:tr>
    </w:tbl>
    <w:p>
      <w:pPr>
        <w:spacing w:after="10" w:line="132" w:lineRule="auto"/>
      </w:pPr>
    </w:p>
    <w:p>
      <w:pPr>
        <w:pStyle w:val="Heading2"/>
        <w:keepNext/>
        <w:keepLines/>
        <w:spacing w:before="60" w:after="40"/>
      </w:pPr>
      <w:r>
        <w:rPr>
          <w:rFonts w:ascii="Microsoft JhengHei" w:hAnsi="Microsoft JhengHei" w:eastAsia="Microsoft JhengHei"/>
          <w:b/>
          <w:color w:val="245A81"/>
          <w:sz w:val="20"/>
        </w:rPr>
        <w:t>二、系統化程度盤點量表（建議尺度，待審議）</w:t>
      </w:r>
    </w:p>
    <w:p>
      <w:pPr>
        <w:jc w:val="center"/>
        <w:spacing w:before="20" w:after="40"/>
      </w:pPr>
      <w:r>
        <w:rPr>
          <w:b/>
          <w:sz w:val="17"/>
          <w:rFonts w:eastAsia="Microsoft JhengHei"/>
        </w:rPr>
        <w:t>圖1｜資訊系統化與檢索測試流程</w:t>
      </w:r>
    </w:p>
    <w:p>
      <w:pPr>
        <w:spacing w:before="20" w:after="40"/>
      </w:pPr>
      <w:r>
        <w:rPr>
          <w:sz w:val="17"/>
          <w:rFonts w:eastAsia="Microsoft JhengHei"/>
        </w:rPr>
        <w:t>本圖為待審議的測量流程；檢索秒數及成功率須以實測紀錄填列。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0"/>
        <w:gridCol w:w="910"/>
        <w:gridCol w:w="910"/>
        <w:gridCol w:w="910"/>
        <w:gridCol w:w="910"/>
        <w:gridCol w:w="910"/>
        <w:gridCol w:w="910"/>
        <w:gridCol w:w="910"/>
        <w:gridCol w:w="910"/>
        <w:gridCol w:w="910"/>
        <w:gridCol w:w="910"/>
      </w:tblGrid>
      <w:tr>
        <w:tc>
          <w:tcPr>
            <w:tcW w:type="dxa" w:w="1354"/>
            <w:tcBorders>
              <w:top w:val="single" w:sz="6" w:color="6C87A5"/>
              <w:bottom w:val="single" w:sz="6" w:color="6C87A5"/>
              <w:left w:val="single" w:sz="6" w:color="6C87A5"/>
              <w:right w:val="single" w:sz="6" w:color="6C87A5"/>
            </w:tcBorders>
            <w:shd w:fill="EAF1F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63A5F"/>
                <w:sz w:val="17"/>
              </w:rPr>
              <w:t>來源清點</w:t>
            </w:r>
          </w:p>
        </w:tc>
        <w:tc>
          <w:tcPr>
            <w:tcW w:type="dxa" w:w="259"/>
            <w:tcBorders>
              <w:top w:val="nil" w:sz="6" w:color="6C87A5"/>
              <w:bottom w:val="nil" w:sz="6" w:color="6C87A5"/>
              <w:left w:val="nil" w:sz="6" w:color="6C87A5"/>
              <w:right w:val="nil" w:sz="6" w:color="6C87A5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516B85"/>
                <w:sz w:val="18"/>
              </w:rPr>
              <w:t>→</w:t>
            </w:r>
          </w:p>
        </w:tc>
        <w:tc>
          <w:tcPr>
            <w:tcW w:type="dxa" w:w="1354"/>
            <w:tcBorders>
              <w:top w:val="single" w:sz="6" w:color="6C87A5"/>
              <w:bottom w:val="single" w:sz="6" w:color="6C87A5"/>
              <w:left w:val="single" w:sz="6" w:color="6C87A5"/>
              <w:right w:val="single" w:sz="6" w:color="6C87A5"/>
            </w:tcBorders>
            <w:shd w:fill="EAF1F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63A5F"/>
                <w:sz w:val="17"/>
              </w:rPr>
              <w:t>電子建檔</w:t>
            </w:r>
          </w:p>
        </w:tc>
        <w:tc>
          <w:tcPr>
            <w:tcW w:type="dxa" w:w="259"/>
            <w:tcBorders>
              <w:top w:val="nil" w:sz="6" w:color="6C87A5"/>
              <w:bottom w:val="nil" w:sz="6" w:color="6C87A5"/>
              <w:left w:val="nil" w:sz="6" w:color="6C87A5"/>
              <w:right w:val="nil" w:sz="6" w:color="6C87A5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516B85"/>
                <w:sz w:val="18"/>
              </w:rPr>
              <w:t>→</w:t>
            </w:r>
          </w:p>
        </w:tc>
        <w:tc>
          <w:tcPr>
            <w:tcW w:type="dxa" w:w="1354"/>
            <w:tcBorders>
              <w:top w:val="single" w:sz="6" w:color="6C87A5"/>
              <w:bottom w:val="single" w:sz="6" w:color="6C87A5"/>
              <w:left w:val="single" w:sz="6" w:color="6C87A5"/>
              <w:right w:val="single" w:sz="6" w:color="6C87A5"/>
            </w:tcBorders>
            <w:shd w:fill="EAF1F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63A5F"/>
                <w:sz w:val="17"/>
              </w:rPr>
              <w:t>索引欄位</w:t>
            </w:r>
          </w:p>
        </w:tc>
        <w:tc>
          <w:tcPr>
            <w:tcW w:type="dxa" w:w="259"/>
            <w:tcBorders>
              <w:top w:val="nil" w:sz="6" w:color="6C87A5"/>
              <w:bottom w:val="nil" w:sz="6" w:color="6C87A5"/>
              <w:left w:val="nil" w:sz="6" w:color="6C87A5"/>
              <w:right w:val="nil" w:sz="6" w:color="6C87A5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516B85"/>
                <w:sz w:val="18"/>
              </w:rPr>
              <w:t>→</w:t>
            </w:r>
          </w:p>
        </w:tc>
        <w:tc>
          <w:tcPr>
            <w:tcW w:type="dxa" w:w="1354"/>
            <w:tcBorders>
              <w:top w:val="single" w:sz="6" w:color="6C87A5"/>
              <w:bottom w:val="single" w:sz="6" w:color="6C87A5"/>
              <w:left w:val="single" w:sz="6" w:color="6C87A5"/>
              <w:right w:val="single" w:sz="6" w:color="6C87A5"/>
            </w:tcBorders>
            <w:shd w:fill="EAF1F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63A5F"/>
                <w:sz w:val="17"/>
              </w:rPr>
              <w:t>權限控管</w:t>
            </w:r>
          </w:p>
        </w:tc>
        <w:tc>
          <w:tcPr>
            <w:tcW w:type="dxa" w:w="259"/>
            <w:tcBorders>
              <w:top w:val="nil" w:sz="6" w:color="6C87A5"/>
              <w:bottom w:val="nil" w:sz="6" w:color="6C87A5"/>
              <w:left w:val="nil" w:sz="6" w:color="6C87A5"/>
              <w:right w:val="nil" w:sz="6" w:color="6C87A5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516B85"/>
                <w:sz w:val="18"/>
              </w:rPr>
              <w:t>→</w:t>
            </w:r>
          </w:p>
        </w:tc>
        <w:tc>
          <w:tcPr>
            <w:tcW w:type="dxa" w:w="1354"/>
            <w:tcBorders>
              <w:top w:val="single" w:sz="6" w:color="6C87A5"/>
              <w:bottom w:val="single" w:sz="6" w:color="6C87A5"/>
              <w:left w:val="single" w:sz="6" w:color="6C87A5"/>
              <w:right w:val="single" w:sz="6" w:color="6C87A5"/>
            </w:tcBorders>
            <w:shd w:fill="EAF1F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63A5F"/>
                <w:sz w:val="17"/>
              </w:rPr>
              <w:t>抽樣檢索</w:t>
            </w:r>
          </w:p>
        </w:tc>
        <w:tc>
          <w:tcPr>
            <w:tcW w:type="dxa" w:w="259"/>
            <w:tcBorders>
              <w:top w:val="nil" w:sz="6" w:color="6C87A5"/>
              <w:bottom w:val="nil" w:sz="6" w:color="6C87A5"/>
              <w:left w:val="nil" w:sz="6" w:color="6C87A5"/>
              <w:right w:val="nil" w:sz="6" w:color="6C87A5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516B85"/>
                <w:sz w:val="18"/>
              </w:rPr>
              <w:t>→</w:t>
            </w:r>
          </w:p>
        </w:tc>
        <w:tc>
          <w:tcPr>
            <w:tcW w:type="dxa" w:w="1354"/>
            <w:tcBorders>
              <w:top w:val="single" w:sz="6" w:color="6C87A5"/>
              <w:bottom w:val="single" w:sz="6" w:color="6C87A5"/>
              <w:left w:val="single" w:sz="6" w:color="6C87A5"/>
              <w:right w:val="single" w:sz="6" w:color="6C87A5"/>
            </w:tcBorders>
            <w:shd w:fill="EAF1F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63A5F"/>
                <w:sz w:val="17"/>
              </w:rPr>
              <w:t>分析改善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5976"/>
        <w:gridCol w:w="2405"/>
      </w:tblGrid>
      <w:tr>
        <w:trPr>
          <w:tblHeader w:val="true"/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級別</w:t>
            </w:r>
          </w:p>
        </w:tc>
        <w:tc>
          <w:tcPr>
            <w:tcW w:type="dxa" w:w="597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判讀描述（按證據選級）</w:t>
            </w:r>
          </w:p>
        </w:tc>
        <w:tc>
          <w:tcPr>
            <w:tcW w:type="dxa" w:w="2405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本次級別／證據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0 尚未盤點</w:t>
            </w:r>
          </w:p>
        </w:tc>
        <w:tc>
          <w:tcPr>
            <w:tcW w:type="dxa" w:w="597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沒有可核對的管理方式或盤點資料。</w:t>
            </w:r>
          </w:p>
        </w:tc>
        <w:tc>
          <w:tcPr>
            <w:tcW w:type="dxa" w:w="2405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[待評估]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1 個別保存</w:t>
            </w:r>
          </w:p>
        </w:tc>
        <w:tc>
          <w:tcPr>
            <w:tcW w:type="dxa" w:w="597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主要依個人或零散資料夾保存，尚無一致索引。</w:t>
            </w:r>
          </w:p>
        </w:tc>
        <w:tc>
          <w:tcPr>
            <w:tcW w:type="dxa" w:w="2405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[待評估]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2 有共同規則</w:t>
            </w:r>
          </w:p>
        </w:tc>
        <w:tc>
          <w:tcPr>
            <w:tcW w:type="dxa" w:w="597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有分類／命名／索引規則，但執行一致性尚未量測。</w:t>
            </w:r>
          </w:p>
        </w:tc>
        <w:tc>
          <w:tcPr>
            <w:tcW w:type="dxa" w:w="2405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[待評估]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3 可查詢追溯</w:t>
            </w:r>
          </w:p>
        </w:tc>
        <w:tc>
          <w:tcPr>
            <w:tcW w:type="dxa" w:w="597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可依共同欄位查找、辨識版次，且有調閱紀錄。</w:t>
            </w:r>
          </w:p>
        </w:tc>
        <w:tc>
          <w:tcPr>
            <w:tcW w:type="dxa" w:w="2405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[待評估]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4 定期改善</w:t>
            </w:r>
          </w:p>
        </w:tc>
        <w:tc>
          <w:tcPr>
            <w:tcW w:type="dxa" w:w="597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有權限、備份、測試與改善複測紀錄，並依結果更新。</w:t>
            </w:r>
          </w:p>
        </w:tc>
        <w:tc>
          <w:tcPr>
            <w:tcW w:type="dxa" w:w="2405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[待評估]</w:t>
            </w:r>
          </w:p>
        </w:tc>
      </w:tr>
    </w:tbl>
    <w:p>
      <w:pPr>
        <w:spacing w:after="10" w:line="132" w:lineRule="auto"/>
      </w:pPr>
    </w:p>
    <w:p>
      <w:pPr>
        <w:keepLines/>
        <w:spacing w:before="0" w:after="44" w:line="250" w:lineRule="auto"/>
      </w:pPr>
      <w:r>
        <w:rPr>
          <w:rFonts w:ascii="Microsoft JhengHei" w:hAnsi="Microsoft JhengHei" w:eastAsia="Microsoft JhengHei"/>
          <w:b w:val="0"/>
          <w:color w:val="24364B"/>
          <w:sz w:val="17"/>
        </w:rPr>
        <w:t>評級只能依本次可查驗證據；量表及目標值須由本會審議核定。若沒有系統或測試紀錄，應如實填「待盤點／未測」，不可推估級別。</w:t>
      </w:r>
    </w:p>
    <w:p>
      <w:pPr>
        <w:pStyle w:val="Heading2"/>
        <w:keepNext/>
        <w:keepLines/>
        <w:spacing w:before="60" w:after="40"/>
      </w:pPr>
      <w:r>
        <w:rPr>
          <w:rFonts w:ascii="Microsoft JhengHei" w:hAnsi="Microsoft JhengHei" w:eastAsia="Microsoft JhengHei"/>
          <w:b/>
          <w:color w:val="245A81"/>
          <w:sz w:val="20"/>
        </w:rPr>
        <w:t>三、檢索速度測試與分析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1944"/>
        <w:gridCol w:w="1944"/>
        <w:gridCol w:w="2232"/>
        <w:gridCol w:w="2189"/>
      </w:tblGrid>
      <w:tr>
        <w:trPr>
          <w:tblHeader w:val="true"/>
          <w:cantSplit/>
        </w:trPr>
        <w:tc>
          <w:tcPr>
            <w:tcW w:type="dxa" w:w="158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測試編號／日期</w:t>
            </w:r>
          </w:p>
        </w:tc>
        <w:tc>
          <w:tcPr>
            <w:tcW w:type="dxa" w:w="194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資料範圍／難度</w:t>
            </w:r>
          </w:p>
        </w:tc>
        <w:tc>
          <w:tcPr>
            <w:tcW w:type="dxa" w:w="194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預期文件</w:t>
            </w:r>
          </w:p>
        </w:tc>
        <w:tc>
          <w:tcPr>
            <w:tcW w:type="dxa" w:w="223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實際秒數／正確版次</w:t>
            </w:r>
          </w:p>
        </w:tc>
        <w:tc>
          <w:tcPr>
            <w:tcW w:type="dxa" w:w="218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結果與限制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[待填]</w:t>
            </w:r>
          </w:p>
        </w:tc>
        <w:tc>
          <w:tcPr>
            <w:tcW w:type="dxa" w:w="194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[待填]</w:t>
            </w:r>
          </w:p>
        </w:tc>
        <w:tc>
          <w:tcPr>
            <w:tcW w:type="dxa" w:w="194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[待填]</w:t>
            </w:r>
          </w:p>
        </w:tc>
        <w:tc>
          <w:tcPr>
            <w:tcW w:type="dxa" w:w="223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[實測後填]</w:t>
            </w:r>
          </w:p>
        </w:tc>
        <w:tc>
          <w:tcPr>
            <w:tcW w:type="dxa" w:w="218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[待分析]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[待填]</w:t>
            </w:r>
          </w:p>
        </w:tc>
        <w:tc>
          <w:tcPr>
            <w:tcW w:type="dxa" w:w="194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[待填]</w:t>
            </w:r>
          </w:p>
        </w:tc>
        <w:tc>
          <w:tcPr>
            <w:tcW w:type="dxa" w:w="194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[待填]</w:t>
            </w:r>
          </w:p>
        </w:tc>
        <w:tc>
          <w:tcPr>
            <w:tcW w:type="dxa" w:w="223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[實測後填]</w:t>
            </w:r>
          </w:p>
        </w:tc>
        <w:tc>
          <w:tcPr>
            <w:tcW w:type="dxa" w:w="218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[待分析]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[待填]</w:t>
            </w:r>
          </w:p>
        </w:tc>
        <w:tc>
          <w:tcPr>
            <w:tcW w:type="dxa" w:w="194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[待填]</w:t>
            </w:r>
          </w:p>
        </w:tc>
        <w:tc>
          <w:tcPr>
            <w:tcW w:type="dxa" w:w="194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[待填]</w:t>
            </w:r>
          </w:p>
        </w:tc>
        <w:tc>
          <w:tcPr>
            <w:tcW w:type="dxa" w:w="223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[實測後填]</w:t>
            </w:r>
          </w:p>
        </w:tc>
        <w:tc>
          <w:tcPr>
            <w:tcW w:type="dxa" w:w="218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[待分析]</w:t>
            </w:r>
          </w:p>
        </w:tc>
      </w:tr>
      <w:tr>
        <w:trPr>
          <w:cantSplit/>
        </w:trPr>
        <w:tc>
          <w:tcPr>
            <w:tcW w:type="dxa" w:w="1584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[待填]</w:t>
            </w:r>
          </w:p>
        </w:tc>
        <w:tc>
          <w:tcPr>
            <w:tcW w:type="dxa" w:w="1944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[待填]</w:t>
            </w:r>
          </w:p>
        </w:tc>
        <w:tc>
          <w:tcPr>
            <w:tcW w:type="dxa" w:w="1944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[待填]</w:t>
            </w:r>
          </w:p>
        </w:tc>
        <w:tc>
          <w:tcPr>
            <w:tcW w:type="dxa" w:w="2232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[實測後填]</w:t>
            </w:r>
          </w:p>
        </w:tc>
        <w:tc>
          <w:tcPr>
            <w:tcW w:type="dxa" w:w="2189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[待分析]</w:t>
            </w:r>
          </w:p>
        </w:tc>
      </w:tr>
      <w:tr>
        <w:trPr>
          <w:cantSplit/>
        </w:trPr>
        <w:tc>
          <w:tcPr>
            <w:tcW w:type="dxa" w:w="1584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[待填]</w:t>
            </w:r>
          </w:p>
        </w:tc>
        <w:tc>
          <w:tcPr>
            <w:tcW w:type="dxa" w:w="1944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[待填]</w:t>
            </w:r>
          </w:p>
        </w:tc>
        <w:tc>
          <w:tcPr>
            <w:tcW w:type="dxa" w:w="1944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[待填]</w:t>
            </w:r>
          </w:p>
        </w:tc>
        <w:tc>
          <w:tcPr>
            <w:tcW w:type="dxa" w:w="2232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[實測後填]</w:t>
            </w:r>
          </w:p>
        </w:tc>
        <w:tc>
          <w:tcPr>
            <w:tcW w:type="dxa" w:w="2189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[待分析]</w:t>
            </w:r>
          </w:p>
        </w:tc>
      </w:tr>
      <w:tr>
        <w:trPr>
          <w:cantSplit/>
        </w:trPr>
        <w:tc>
          <w:tcPr>
            <w:tcW w:type="dxa" w:w="1584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[待填]</w:t>
            </w:r>
          </w:p>
        </w:tc>
        <w:tc>
          <w:tcPr>
            <w:tcW w:type="dxa" w:w="1944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[待填]</w:t>
            </w:r>
          </w:p>
        </w:tc>
        <w:tc>
          <w:tcPr>
            <w:tcW w:type="dxa" w:w="1944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[待填]</w:t>
            </w:r>
          </w:p>
        </w:tc>
        <w:tc>
          <w:tcPr>
            <w:tcW w:type="dxa" w:w="2232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[實測後填]</w:t>
            </w:r>
          </w:p>
        </w:tc>
        <w:tc>
          <w:tcPr>
            <w:tcW w:type="dxa" w:w="2189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[待分析]</w:t>
            </w:r>
          </w:p>
        </w:tc>
      </w:tr>
    </w:tbl>
    <w:p>
      <w:pPr>
        <w:spacing w:after="10" w:line="132" w:lineRule="auto"/>
      </w:pPr>
    </w:p>
    <w:p>
      <w:pPr>
        <w:pStyle w:val="Heading2"/>
        <w:keepNext/>
      </w:pPr>
      <w:r>
        <w:t>四、測試條件一致性核對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40"/>
        <w:gridCol w:w="6653"/>
      </w:tblGrid>
      <w:tr>
        <w:tc>
          <w:tcPr>
            <w:tcW w:type="dxa" w:w="3240"/>
            <w:shd w:fill="183B63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/>
                <w:sz w:val="17"/>
              </w:rPr>
              <w:t>核對項目</w:t>
            </w:r>
          </w:p>
        </w:tc>
        <w:tc>
          <w:tcPr>
            <w:tcW w:type="dxa" w:w="6653"/>
            <w:shd w:fill="183B63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/>
                <w:sz w:val="17"/>
              </w:rPr>
              <w:t>測試設定／證據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測試範圍與樣本口徑</w:t>
            </w:r>
          </w:p>
        </w:tc>
        <w:tc>
          <w:tcPr>
            <w:tcW w:type="dxa" w:w="6653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[待填；須與結果摘要一致]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操作角色、設備／工具及資料位置</w:t>
            </w:r>
          </w:p>
        </w:tc>
        <w:tc>
          <w:tcPr>
            <w:tcW w:type="dxa" w:w="6653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[實測時記錄；權限依核定設定]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計時起點、終點及單位</w:t>
            </w:r>
          </w:p>
        </w:tc>
        <w:tc>
          <w:tcPr>
            <w:tcW w:type="dxa" w:w="6653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[開始查詢至確認正確文件與版次；秒]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預期答案及版次核對依據</w:t>
            </w:r>
          </w:p>
        </w:tc>
        <w:tc>
          <w:tcPr>
            <w:tcW w:type="dxa" w:w="6653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[待填；由可查驗原件確認]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無效測試、缺件與排除理由</w:t>
            </w:r>
          </w:p>
        </w:tc>
        <w:tc>
          <w:tcPr>
            <w:tcW w:type="dxa" w:w="6653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[逐筆登錄；不得只保留成功測試]</w:t>
            </w:r>
          </w:p>
        </w:tc>
      </w:tr>
    </w:tbl>
    <w:p>
      <w:pPr>
        <w:pStyle w:val="Heading2"/>
        <w:keepNext/>
        <w:keepLines/>
        <w:spacing w:before="60" w:after="40"/>
      </w:pPr>
      <w:r>
        <w:rPr>
          <w:rFonts w:ascii="Microsoft JhengHei" w:hAnsi="Microsoft JhengHei" w:eastAsia="Microsoft JhengHei"/>
          <w:b/>
          <w:color w:val="245A81"/>
          <w:sz w:val="20"/>
        </w:rPr>
        <w:t>五、結論與改善追蹤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72"/>
        <w:gridCol w:w="6221"/>
      </w:tblGrid>
      <w:tr>
        <w:trPr>
          <w:tblHeader w:val="true"/>
          <w:cantSplit/>
        </w:trPr>
        <w:tc>
          <w:tcPr>
            <w:tcW w:type="dxa" w:w="367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結論欄位</w:t>
            </w:r>
          </w:p>
        </w:tc>
        <w:tc>
          <w:tcPr>
            <w:tcW w:type="dxa" w:w="622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填寫內容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盤點期間／樣本口徑</w:t>
            </w:r>
          </w:p>
        </w:tc>
        <w:tc>
          <w:tcPr>
            <w:tcW w:type="dxa" w:w="622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[待填]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測試次數／成功率／耗時摘要</w:t>
            </w:r>
          </w:p>
        </w:tc>
        <w:tc>
          <w:tcPr>
            <w:tcW w:type="dxa" w:w="622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[依原始計時資料計算；待填]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未達目標原因／資料限制</w:t>
            </w:r>
          </w:p>
        </w:tc>
        <w:tc>
          <w:tcPr>
            <w:tcW w:type="dxa" w:w="622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[待分析；不得推定原因]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改善措施／負責角色／期限</w:t>
            </w:r>
          </w:p>
        </w:tc>
        <w:tc>
          <w:tcPr>
            <w:tcW w:type="dxa" w:w="622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[待核定]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複測結果／覆核日期</w:t>
            </w:r>
          </w:p>
        </w:tc>
        <w:tc>
          <w:tcPr>
            <w:tcW w:type="dxa" w:w="622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[實際完成後填]</w:t>
            </w:r>
          </w:p>
        </w:tc>
      </w:tr>
    </w:tbl>
    <w:p>
      <w:pPr>
        <w:spacing w:after="10" w:line="132" w:lineRule="auto"/>
      </w:pPr>
    </w:p>
    <w:p>
      <w:pPr>
        <w:pStyle w:val="Heading1"/>
        <w:keepNext/>
      </w:pPr>
      <w:r>
        <w:t>補充：檢索測試統計口徑</w:t>
      </w:r>
    </w:p>
    <w:p>
      <w:pPr>
        <w:widowControl/>
      </w:pPr>
      <w:r>
        <w:t>測試前固定範圍、樣本抽取、難度與計時方式；每筆都保留原始秒數與正確版次判定。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02"/>
        <w:gridCol w:w="2502"/>
        <w:gridCol w:w="2502"/>
        <w:gridCol w:w="2502"/>
      </w:tblGrid>
      <w:tr>
        <w:trPr>
          <w:tblHeader w:val="true"/>
        </w:trPr>
        <w:tc>
          <w:tcPr>
            <w:tcW w:type="dxa" w:w="2502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統計項目</w:t>
            </w:r>
          </w:p>
        </w:tc>
        <w:tc>
          <w:tcPr>
            <w:tcW w:type="dxa" w:w="2502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計算／報告方式</w:t>
            </w:r>
          </w:p>
        </w:tc>
        <w:tc>
          <w:tcPr>
            <w:tcW w:type="dxa" w:w="2502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必須同時列出的資料</w:t>
            </w:r>
          </w:p>
        </w:tc>
        <w:tc>
          <w:tcPr>
            <w:tcW w:type="dxa" w:w="2502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沒有可用資料時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成功率</w:t>
            </w:r>
          </w:p>
        </w:tc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正確文件與版次的有效測試 ÷ 全部有效測試</w:t>
            </w:r>
          </w:p>
        </w:tc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成功數、有效測試數、失敗及排除理由</w:t>
            </w:r>
          </w:p>
        </w:tc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標未測或待資料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中位檢索秒數</w:t>
            </w:r>
          </w:p>
        </w:tc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排序有效測試秒數後取中位數</w:t>
            </w:r>
          </w:p>
        </w:tc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樣本數、秒數、取樣規則、例外</w:t>
            </w:r>
          </w:p>
        </w:tc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標未測或待資料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P95 檢索秒數</w:t>
            </w:r>
          </w:p>
        </w:tc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排序有效測試秒數並依事前核定的百分位方法取第95百分位</w:t>
            </w:r>
          </w:p>
        </w:tc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逐次秒數、樣本數、方法及計算版本</w:t>
            </w:r>
          </w:p>
        </w:tc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標未測或待資料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系統化程度</w:t>
            </w:r>
          </w:p>
        </w:tc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按本稿 0–4 級描述逐項提供現況證據</w:t>
            </w:r>
          </w:p>
        </w:tc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各維度證據位置及覆核人</w:t>
            </w:r>
          </w:p>
        </w:tc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不可因無資料評為0級，先標待盤點</w:t>
            </w:r>
          </w:p>
        </w:tc>
      </w:tr>
    </w:tbl>
    <w:p>
      <w:pPr>
        <w:pStyle w:val="Heading1"/>
        <w:keepNext/>
      </w:pPr>
      <w:r>
        <w:t>補充：結果彙總與改善決策</w:t>
      </w:r>
    </w:p>
    <w:p>
      <w:pPr>
        <w:widowControl/>
      </w:pPr>
      <w:r>
        <w:t>先檢查測試條件一致性，再比較期間；不同系統、權限、樣本或計時起訖不得直接比較。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30"/>
        <w:gridCol w:w="1430"/>
        <w:gridCol w:w="1430"/>
        <w:gridCol w:w="1430"/>
        <w:gridCol w:w="1430"/>
        <w:gridCol w:w="1430"/>
        <w:gridCol w:w="1430"/>
      </w:tblGrid>
      <w:tr>
        <w:trPr>
          <w:tblHeader w:val="true"/>
        </w:trPr>
        <w:tc>
          <w:tcPr>
            <w:tcW w:type="dxa" w:w="143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期間／工具版本</w:t>
            </w:r>
          </w:p>
        </w:tc>
        <w:tc>
          <w:tcPr>
            <w:tcW w:type="dxa" w:w="143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測試範圍／樣本數</w:t>
            </w:r>
          </w:p>
        </w:tc>
        <w:tc>
          <w:tcPr>
            <w:tcW w:type="dxa" w:w="143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成功率</w:t>
            </w:r>
          </w:p>
        </w:tc>
        <w:tc>
          <w:tcPr>
            <w:tcW w:type="dxa" w:w="143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中位秒數</w:t>
            </w:r>
          </w:p>
        </w:tc>
        <w:tc>
          <w:tcPr>
            <w:tcW w:type="dxa" w:w="143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P95 秒數</w:t>
            </w:r>
          </w:p>
        </w:tc>
        <w:tc>
          <w:tcPr>
            <w:tcW w:type="dxa" w:w="143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系統化級別／證據</w:t>
            </w:r>
          </w:p>
        </w:tc>
        <w:tc>
          <w:tcPr>
            <w:tcW w:type="dxa" w:w="143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限制／措施／覆核</w:t>
            </w:r>
          </w:p>
        </w:tc>
      </w:tr>
      <w:tr>
        <w:trPr>
          <w:cantSplit/>
        </w:trPr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待實測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待實測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待實測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待盤點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</w:tr>
      <w:tr>
        <w:trPr>
          <w:cantSplit/>
        </w:trPr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待實測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待實測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待實測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待盤點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</w:tr>
      <w:tr>
        <w:trPr>
          <w:cantSplit/>
        </w:trPr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待實測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待實測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待實測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待盤點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</w:tr>
    </w:tbl>
    <w:p>
      <w:pPr>
        <w:spacing w:before="0" w:after="0" w:line="20" w:lineRule="exact"/>
      </w:pPr>
    </w:p>
    <w:sectPr w:rsidR="00FC693F" w:rsidRPr="0006063C" w:rsidSect="00034616">
      <w:headerReference w:type="default" r:id="rId9"/>
      <w:footerReference w:type="default" r:id="rId10"/>
      <w:pgSz w:w="11909" w:h="16834"/>
      <w:pgMar w:top="835" w:right="950" w:bottom="835" w:left="950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待本會填實、審議核定後使用｜第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社團法人屏東縣原始點關懷協會｜文件工作稿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50" w:lineRule="auto"/>
    </w:pPr>
    <w:rPr>
      <w:rFonts w:ascii="Microsoft JhengHei" w:hAnsi="Microsoft JhengHei" w:eastAsia="Microsoft JhengHei"/>
      <w:color w:val="24364B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