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0"/>
      </w:pPr>
      <w:r>
        <w:rPr>
          <w:rFonts w:ascii="Microsoft JhengHei" w:hAnsi="Microsoft JhengHei" w:eastAsia="Microsoft JhengHei"/>
          <w:b/>
          <w:color w:val="183B63"/>
          <w:sz w:val="36"/>
        </w:rPr>
        <w:t>訓練流程管控方法及紀錄</w:t>
      </w:r>
    </w:p>
    <w:p>
      <w:pPr>
        <w:keepNext/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5A81"/>
          <w:sz w:val="17"/>
        </w:rPr>
        <w:t>I16-E01｜指標 16｜草案：待確認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工作稿｜尚待填入本會真實資料並完成審議核定；不代表課程已辦理、流程已核准、聘任已成立、證明已取得或成果已發生。</w:t>
            </w:r>
          </w:p>
        </w:tc>
      </w:tr>
    </w:tbl>
    <w:p>
      <w:pPr>
        <w:spacing w:after="6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381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說明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文件用途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呈現訓練流程控制點及單班執行、例外、覆核與證據索引。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怎麼使用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正式核定後按階段核對並記錄實際狀態、附件及異常處理。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評核先看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本表的流程／檢核／追溯欄位及其後附的真實原始證據索引。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目前狀態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只有官方查核要求及空白工作稿；協會現行作法、紀錄、核定與成果均待查證或補入。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官方查核要求</w:t>
      </w:r>
    </w:p>
    <w:p>
      <w:pPr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訓練流程的管控方法及紀錄。</w:t>
      </w: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一、訓練流程與控制點（工作稿）</w:t>
      </w: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本稿提供從需求規劃到結案改善的流程控制與紀錄格式。各控制點須先依本會權責審議，正式採用後依實際課程填寫；空白控制表不表示已辦理或已核定。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4824"/>
        <w:gridCol w:w="3413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流程階段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執行／核對重點</w:t>
            </w:r>
          </w:p>
        </w:tc>
        <w:tc>
          <w:tcPr>
            <w:tcW w:type="dxa" w:w="341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放行條件與應留證據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需求與規劃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記錄需求來源、課程對象、目標、期程及資源。</w:t>
            </w:r>
          </w:p>
        </w:tc>
        <w:tc>
          <w:tcPr>
            <w:tcW w:type="dxa" w:w="341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需求與目標可追溯；計畫版本／核定依據可查。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課程準備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核對師資、教材、場地設備、通知、評量與安全安排。</w:t>
            </w:r>
          </w:p>
        </w:tc>
        <w:tc>
          <w:tcPr>
            <w:tcW w:type="dxa" w:w="341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必要資料齊備；缺漏或例外有處理紀錄。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招生與開課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依已核定對象與遴選方式辦理，確認實際開課條件。</w:t>
            </w:r>
          </w:p>
        </w:tc>
        <w:tc>
          <w:tcPr>
            <w:tcW w:type="dxa" w:w="341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通知及遴選紀錄可查；實際日期如實登錄。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訓練執行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依核定課表執行，記錄出席、調整、異常與處置。</w:t>
            </w:r>
          </w:p>
        </w:tc>
        <w:tc>
          <w:tcPr>
            <w:tcW w:type="dxa" w:w="341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實際執行與課程版本對照；變更留痕。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評量及回饋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依事前工具收集評量與意見，保護個資並保留原始資料。</w:t>
            </w:r>
          </w:p>
        </w:tc>
        <w:tc>
          <w:tcPr>
            <w:tcW w:type="dxa" w:w="341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工具、母數、原始資料及彙整方式可追溯。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結案與改善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核對資源、財務、成果、差異及後續改善追蹤。</w:t>
            </w:r>
          </w:p>
        </w:tc>
        <w:tc>
          <w:tcPr>
            <w:tcW w:type="dxa" w:w="341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結案報告、審查／決議及附件索引完整。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二、單班流程控制紀錄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880"/>
        <w:gridCol w:w="1800"/>
        <w:gridCol w:w="2376"/>
        <w:gridCol w:w="1397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日期／階段</w:t>
            </w:r>
          </w:p>
        </w:tc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檢核點與實際狀態</w:t>
            </w:r>
          </w:p>
        </w:tc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證據編號／版次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異常／變更處置</w:t>
            </w:r>
          </w:p>
        </w:tc>
        <w:tc>
          <w:tcPr>
            <w:tcW w:type="dxa" w:w="139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核對角色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[實際日期]</w:t>
            </w:r>
          </w:p>
        </w:tc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[待填；通過／待補／不適用]</w:t>
            </w:r>
          </w:p>
        </w:tc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[如有才填]</w:t>
            </w:r>
          </w:p>
        </w:tc>
        <w:tc>
          <w:tcPr>
            <w:tcW w:type="dxa" w:w="139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[實際日期]</w:t>
            </w:r>
          </w:p>
        </w:tc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[待填；通過／待補／不適用]</w:t>
            </w:r>
          </w:p>
        </w:tc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[如有才填]</w:t>
            </w:r>
          </w:p>
        </w:tc>
        <w:tc>
          <w:tcPr>
            <w:tcW w:type="dxa" w:w="139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[實際日期]</w:t>
            </w:r>
          </w:p>
        </w:tc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[待填；通過／待補／不適用]</w:t>
            </w:r>
          </w:p>
        </w:tc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[如有才填]</w:t>
            </w:r>
          </w:p>
        </w:tc>
        <w:tc>
          <w:tcPr>
            <w:tcW w:type="dxa" w:w="139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[實際日期]</w:t>
            </w:r>
          </w:p>
        </w:tc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[待填；通過／待補／不適用]</w:t>
            </w:r>
          </w:p>
        </w:tc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[如有才填]</w:t>
            </w:r>
          </w:p>
        </w:tc>
        <w:tc>
          <w:tcPr>
            <w:tcW w:type="dxa" w:w="139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[實際日期]</w:t>
            </w:r>
          </w:p>
        </w:tc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[待填；通過／待補／不適用]</w:t>
            </w:r>
          </w:p>
        </w:tc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[如有才填]</w:t>
            </w:r>
          </w:p>
        </w:tc>
        <w:tc>
          <w:tcPr>
            <w:tcW w:type="dxa" w:w="139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三、例外、覆核與文件控制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2808"/>
        <w:gridCol w:w="2088"/>
        <w:gridCol w:w="3053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例外／變更編號</w:t>
            </w:r>
          </w:p>
        </w:tc>
        <w:tc>
          <w:tcPr>
            <w:tcW w:type="dxa" w:w="280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影響與臨時處置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核定／通知</w:t>
            </w:r>
          </w:p>
        </w:tc>
        <w:tc>
          <w:tcPr>
            <w:tcW w:type="dxa" w:w="305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後續改善與證據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[待填；無則填無並說明]</w:t>
            </w:r>
          </w:p>
        </w:tc>
        <w:tc>
          <w:tcPr>
            <w:tcW w:type="dxa" w:w="280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[待分析]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[待核定／待通知]</w:t>
            </w:r>
          </w:p>
        </w:tc>
        <w:tc>
          <w:tcPr>
            <w:tcW w:type="dxa" w:w="305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[待追蹤]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280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[待分析]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[待核定／待通知]</w:t>
            </w:r>
          </w:p>
        </w:tc>
        <w:tc>
          <w:tcPr>
            <w:tcW w:type="dxa" w:w="305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[待追蹤]</w:t>
            </w:r>
          </w:p>
        </w:tc>
      </w:tr>
    </w:tbl>
    <w:p>
      <w:pPr>
        <w:spacing w:after="10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376"/>
        <w:gridCol w:w="2376"/>
        <w:gridCol w:w="2261"/>
      </w:tblGrid>
      <w:tr>
        <w:trPr>
          <w:tblHeader w:val="true"/>
          <w:cantSplit/>
        </w:trPr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課程／班次識別與版本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承辦角色／日期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覆核角色／日期</w:t>
            </w:r>
          </w:p>
        </w:tc>
        <w:tc>
          <w:tcPr>
            <w:tcW w:type="dxa" w:w="226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文件狀態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226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[待核定／工作稿]</w:t>
            </w:r>
          </w:p>
        </w:tc>
      </w:tr>
    </w:tbl>
    <w:p>
      <w:pPr>
        <w:spacing w:after="10" w:line="132" w:lineRule="auto"/>
      </w:pPr>
    </w:p>
    <w:p>
      <w:pPr>
        <w:keepLines/>
        <w:spacing w:before="0" w:after="20" w:line="250" w:lineRule="auto"/>
      </w:pPr>
      <w:r>
        <w:rPr>
          <w:rFonts w:ascii="Microsoft JhengHei" w:hAnsi="Microsoft JhengHei" w:eastAsia="Microsoft JhengHei"/>
          <w:b w:val="0"/>
          <w:color w:val="62748A"/>
          <w:sz w:val="17"/>
        </w:rPr>
        <w:t>資料與真實性：本稿依官方查核要求設計，尚須本會依實際制度、資料及權責審議補正。未填資料不表示已有課程、會議、系統、數據、核定或成果。</w:t>
      </w:r>
    </w:p>
    <w:p>
      <w:pPr>
        <w:pStyle w:val="Heading1"/>
        <w:keepNext/>
      </w:pPr>
      <w:r>
        <w:t>補充：逐流程切合性控制紀錄</w:t>
      </w:r>
    </w:p>
    <w:p>
      <w:pPr>
        <w:widowControl/>
      </w:pPr>
      <w:r>
        <w:t>依核定課程版本逐項比對，逐列記錄實際、差異、即時處理、核准及證據；有偏差時不以整體「符合」掩蓋。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blHeader w:val="true"/>
        </w:trPr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流程／項目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核定標準／版本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實際情況／時間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符合／偏差／不適用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差異原因／證據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即時處置／核准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責任／期限／複驗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招生與資格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偏差時填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師資與教材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偏差時填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教學內容／時數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偏差時填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出席與學習活動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偏差時填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場地／設備／安全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偏差時填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評量與回饋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偏差時填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結案／保存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偏差時填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pStyle w:val="Heading1"/>
        <w:keepNext/>
      </w:pPr>
      <w:r>
        <w:t>補充：異常判斷與結案控制</w:t>
      </w:r>
    </w:p>
    <w:p>
      <w:pPr>
        <w:widowControl/>
      </w:pPr>
      <w:r>
        <w:t>影響安全、個資、法規或課程目標的偏差先停止／通報並保全原件；只有權責核准後才能恢復。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</w:trPr>
        <w:tc>
          <w:tcPr>
            <w:tcW w:type="dxa" w:w="25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偏差狀態</w:t>
            </w:r>
          </w:p>
        </w:tc>
        <w:tc>
          <w:tcPr>
            <w:tcW w:type="dxa" w:w="25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判斷／升級</w:t>
            </w:r>
          </w:p>
        </w:tc>
        <w:tc>
          <w:tcPr>
            <w:tcW w:type="dxa" w:w="25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必需原件</w:t>
            </w:r>
          </w:p>
        </w:tc>
        <w:tc>
          <w:tcPr>
            <w:tcW w:type="dxa" w:w="25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恢復／結案條件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未發現偏差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按抽核計畫記錄有效母體與結果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逐項核對表與附件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覆核後記錄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偏差待查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記錄事實與暫行控制，不推測原因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原始版本、時間線、通知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原因與範圍確認後核定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改善待驗證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指定責任、期限與預定驗證口徑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措施完成證據及獨立複驗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達標、簽核、保存位置確認</w:t>
            </w:r>
          </w:p>
        </w:tc>
      </w:tr>
    </w:tbl>
    <w:p>
      <w:pPr>
        <w:widowControl/>
      </w:pPr>
      <w:r>
        <w:t>切合項目達成率＝符合項目數 ÷ 應檢且適用項目數。每一個不適用項目須有理由並經覆核；應檢母體未核定、分母為零或檢查尚未執行時，標示不適用／待測，不填零。</w:t>
      </w:r>
    </w:p>
    <w:p>
      <w:pPr>
        <w:pStyle w:val="Heading1"/>
        <w:keepNext/>
        <w:pageBreakBefore/>
      </w:pPr>
      <w:r>
        <w:t>六、I16-E01訓練流程直接追溯與真實資料升格檢核</w:t>
      </w:r>
    </w:p>
    <w:p>
      <w:pPr>
        <w:keepNext/>
      </w:pPr>
      <w:r>
        <w:t>本表以核定課程版本為比較基準，連結各階段實際紀錄、例外處置及複驗；未核定流程或未發生課程均維持待核/待實施。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  <w:cantSplit/>
        </w:trPr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流程／直接查核面向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必要欄位與判定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對應位置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目前狀態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真實證據位置／覆核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訓練目標與規格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需求來源、核定目標/課程版次、先備與資源條件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T03、T04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待核定/待實施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待填核定計畫與原件ID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執行前核對與執行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師資、教材、教法、學員/資格、環境/設備；標準對實際、日期及證據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T03、T04、T07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待實施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按課程版本逐項記錄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切合性、偏差與即時處置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符合/偏差/N/A及理由；偏差影響、停止/通報、核准與恢復條件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T05、T07、T08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待實施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異常原件及核准待補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課後檢討與改善驗證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原因證據、措施責任/期限、複驗標準與結果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T07–T08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待實施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待填驗證原件及覆核者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完整證據索引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課程版本、流程紀錄、簽核、附件位置、真實姓名/日期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T04、T06–T07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受控路徑/保存規則待核定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官方直接回應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訓練流程的管控方法及紀錄；本稿為工具，不是已執行紀錄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官方要求段及本表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工作稿/待審議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真實流程與班次原件待取得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835" w:right="950" w:bottom="835" w:left="95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待本會填實、審議核定後使用｜第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Microsoft JhengHei" w:hAnsi="Microsoft JhengHei" w:eastAsia="Microsoft JhengHei"/>
      <w:color w:val="24364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