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  <w:pageBreakBefore/>
      </w:pPr>
      <w:r>
        <w:t>補充：結果彙總與改善決策</w:t>
      </w:r>
    </w:p>
    <w:p>
      <w:pPr>
        <w:keepNext/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p>
      <w:pPr>
        <w:pStyle w:val="Heading1"/>
        <w:keepNext/>
      </w:pPr>
      <w:r>
        <w:t>六、I14-E05官方要求追溯與真實資料升格檢核</w:t>
      </w:r>
    </w:p>
    <w:p>
      <w:pPr>
        <w:keepNext/>
      </w:pPr>
      <w:r>
        <w:t>本表把系統化程度與檢索速度連到可重現的實測證據；如使用0063的文件主檔/分類規則，填其受控來源ID，不在此重複維護主檔。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查核／測量面向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最低必要輸入與口徑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原始證據位置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系統化程度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依0–4級錨點逐維度記錄來源、索引、權限、版控、備份證據；不得無證據評級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待盤點/待核定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T05及0063受控主檔來源ID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待補證據、級別理由及覆核者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測試範圍與樣本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期間、母體、樣本抽取、難度、工具/權限及排除條件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固定條件後再測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查詢成功與版次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逐筆列預期/實際文件、正確版次、成功/失敗及理由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T06；完成後連結原件/日誌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不得以無測試填0%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中位數與P95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保存逐筆秒數、樣本數、單位、計時起訖及P95算法/版本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依同一口徑計算並覆核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改善與再驗證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差距/限制、措施、責任/期限、同條件複測及結果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待核定/待追蹤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T08、T10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未驗證前不得稱改善有效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資訊系統化程度及檢索速度；結果須有真實測試與來源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目前只有空白測量工具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本表及T03–T10；實測原件待補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取得真實測試後由覆核者確認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