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訓後改善建議追蹤與效果驗證報告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I15-E04｜指標 15｜工作稿 R04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追蹤訓後改善建議的來源、核定、責任、執行、效果及後續決定，形成可回查閉環。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改善建議如何轉成行動、用何基準與原件驗證、何時結案或重開。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訓後改善建議追蹤報告。</w:t>
      </w:r>
    </w:p>
    <w:p>
      <w:pPr>
        <w:widowControl/>
      </w:pPr>
      <w:r>
        <w:t>追蹤訓後改善建議的來源、核定、責任、執行、效果及後續決定，形成可回查閉環。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改善建議來源與受理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建議ID／日期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來源文件／指標／班次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原始意見或問題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接受／部分接受／不採納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理由／證據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核定／責任角色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改善措施與預期變化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sz w:val="20"/>
        </w:rPr>
        <w:t>有差距時，先勾選主要環節：□需求　□設計　□執行　□追蹤　□其他；附資料依據。證據不足請填「待分析」，不得把假設寫成已確認根因。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措施ID</w:t>
            </w:r>
          </w:p>
        </w:tc>
        <w:tc>
          <w:tcPr>
            <w:tcW w:type="dxa" w:w="1417"/>
            <w:shd w:fill="D9EAF7"/>
            <w:vAlign w:val="center"/>
          </w:tcPr>
          <w:p>
            <w:r>
              <w:t>根因階段／證據／基準值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目標／預期變化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具體行動／資源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風險／依賴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核定狀態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</w:tbl>
    <w:p>
      <w:pPr>
        <w:pStyle w:val="Heading1"/>
        <w:keepNext/>
      </w:pPr>
      <w:r>
        <w:t>3. 執行追蹤與資料品質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措施ID／檢查日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完成證據／版本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未完成／偏差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變更理由／核准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缺值／限制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/>
          <w:sz w:val="24"/>
        </w:rPr>
        <w:t>3.1 資料來源、欄位、期間與完整性核對</w:t>
      </w:r>
    </w:p>
    <w:p>
      <w:pPr>
        <w:keepNext/>
        <w:spacing w:before="60" w:after="80"/>
      </w:pPr>
      <w:r>
        <w:rPr>
          <w:rFonts w:ascii="Microsoft JhengHei" w:hAnsi="Microsoft JhengHei" w:eastAsia="Microsoft JhengHei"/>
          <w:sz w:val="20"/>
        </w:rPr>
        <w:t>每個指標使用唯一來源ID串連下列兩表。完整率＝實有有效筆數÷應有筆數×100%；應有母數無法界定時填「無法界定」並說明依據，資料未取得填「待取得」，不可填0代替。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2016"/>
        <w:gridCol w:w="2232"/>
        <w:gridCol w:w="1987"/>
        <w:gridCol w:w="1944"/>
      </w:tblGrid>
      <w:tr>
        <w:trPr>
          <w:tblHeader w:val="true"/>
        </w:trPr>
        <w:tc>
          <w:tcPr>
            <w:tcW w:type="dxa" w:w="893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來源ID</w:t>
            </w:r>
          </w:p>
        </w:tc>
        <w:tc>
          <w:tcPr>
            <w:tcW w:type="dxa" w:w="2016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指標／欄位</w:t>
            </w:r>
          </w:p>
        </w:tc>
        <w:tc>
          <w:tcPr>
            <w:tcW w:type="dxa" w:w="2232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來源原件／唯讀位置</w:t>
            </w:r>
          </w:p>
        </w:tc>
        <w:tc>
          <w:tcPr>
            <w:tcW w:type="dxa" w:w="1987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期間／班次／母體</w:t>
            </w:r>
          </w:p>
        </w:tc>
        <w:tc>
          <w:tcPr>
            <w:tcW w:type="dxa" w:w="1944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應有筆數／分母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指標名稱、單位與欄位定義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待取得；填原件名稱、版本及位置</w:t>
            </w:r>
          </w:p>
        </w:tc>
        <w:tc>
          <w:tcPr>
            <w:tcW w:type="dxa" w:w="198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起訖日期、班次及納入母體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應有筆數與母數依據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指標名稱、單位與欄位定義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待取得；填原件名稱、版本及位置</w:t>
            </w:r>
          </w:p>
        </w:tc>
        <w:tc>
          <w:tcPr>
            <w:tcW w:type="dxa" w:w="198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起訖日期、班次及納入母體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應有筆數與母數依據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指標名稱、單位與欄位定義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待取得；填原件名稱、版本及位置</w:t>
            </w:r>
          </w:p>
        </w:tc>
        <w:tc>
          <w:tcPr>
            <w:tcW w:type="dxa" w:w="198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起訖日期、班次及納入母體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應有筆數與母數依據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指標名稱、單位與欄位定義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待取得；填原件名稱、版本及位置</w:t>
            </w:r>
          </w:p>
        </w:tc>
        <w:tc>
          <w:tcPr>
            <w:tcW w:type="dxa" w:w="198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起訖日期、班次及納入母體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應有筆數與母數依據</w:t>
            </w:r>
          </w:p>
        </w:tc>
      </w:tr>
    </w:tbl>
    <w:p>
      <w:pPr>
        <w:keepNext/>
        <w:spacing w:before="60" w:after="80"/>
      </w:pPr>
      <w:r>
        <w:rPr>
          <w:rFonts w:ascii="Microsoft JhengHei" w:hAnsi="Microsoft JhengHei" w:eastAsia="Microsoft JhengHei"/>
          <w:sz w:val="20"/>
        </w:rPr>
        <w:t>完整率與缺漏依來源ID逐列核對；若缺值會改變判讀，須列出影響及替代解釋，資料品質不足時不得結案。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1512"/>
        <w:gridCol w:w="1613"/>
        <w:gridCol w:w="1944"/>
        <w:gridCol w:w="2232"/>
        <w:gridCol w:w="878"/>
      </w:tblGrid>
      <w:tr>
        <w:trPr>
          <w:tblHeader w:val="true"/>
        </w:trPr>
        <w:tc>
          <w:tcPr>
            <w:tcW w:type="dxa" w:w="893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來源ID</w:t>
            </w:r>
          </w:p>
        </w:tc>
        <w:tc>
          <w:tcPr>
            <w:tcW w:type="dxa" w:w="1512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實有有效筆數</w:t>
            </w:r>
          </w:p>
        </w:tc>
        <w:tc>
          <w:tcPr>
            <w:tcW w:type="dxa" w:w="1613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完整率／缺漏</w:t>
            </w:r>
          </w:p>
        </w:tc>
        <w:tc>
          <w:tcPr>
            <w:tcW w:type="dxa" w:w="1944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缺漏原因</w:t>
            </w:r>
          </w:p>
        </w:tc>
        <w:tc>
          <w:tcPr>
            <w:tcW w:type="dxa" w:w="2232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結論影響／替代解釋</w:t>
            </w:r>
          </w:p>
        </w:tc>
        <w:tc>
          <w:tcPr>
            <w:tcW w:type="dxa" w:w="878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覆核者／日期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待取得；填有效筆數</w:t>
            </w:r>
          </w:p>
        </w:tc>
        <w:tc>
          <w:tcPr>
            <w:tcW w:type="dxa" w:w="161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待計算；列完整率及缺漏筆數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待分析；說明未取得或無效原因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待分析；說明對結論的限制</w:t>
            </w:r>
          </w:p>
        </w:tc>
        <w:tc>
          <w:tcPr>
            <w:tcW w:type="dxa" w:w="87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待填姓名／日期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待取得；填有效筆數</w:t>
            </w:r>
          </w:p>
        </w:tc>
        <w:tc>
          <w:tcPr>
            <w:tcW w:type="dxa" w:w="161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待計算；列完整率及缺漏筆數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待分析；說明未取得或無效原因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待分析；說明對結論的限制</w:t>
            </w:r>
          </w:p>
        </w:tc>
        <w:tc>
          <w:tcPr>
            <w:tcW w:type="dxa" w:w="87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待填姓名／日期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待取得；填有效筆數</w:t>
            </w:r>
          </w:p>
        </w:tc>
        <w:tc>
          <w:tcPr>
            <w:tcW w:type="dxa" w:w="161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待計算；列完整率及缺漏筆數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待分析；說明未取得或無效原因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待分析；說明對結論的限制</w:t>
            </w:r>
          </w:p>
        </w:tc>
        <w:tc>
          <w:tcPr>
            <w:tcW w:type="dxa" w:w="87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待填姓名／日期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待取得；填有效筆數</w:t>
            </w:r>
          </w:p>
        </w:tc>
        <w:tc>
          <w:tcPr>
            <w:tcW w:type="dxa" w:w="161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待計算；列完整率及缺漏筆數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待分析；說明未取得或無效原因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待分析；說明對結論的限制</w:t>
            </w:r>
          </w:p>
        </w:tc>
        <w:tc>
          <w:tcPr>
            <w:tcW w:type="dxa" w:w="87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待填姓名／日期</w:t>
            </w:r>
          </w:p>
        </w:tc>
      </w:tr>
    </w:tbl>
    <w:p>
      <w:pPr>
        <w:pStyle w:val="Heading1"/>
        <w:keepNext/>
      </w:pPr>
      <w:r>
        <w:t>4. 前後比較與效果判讀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r>
              <w:t>措施ID／指標／單位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改善前基準／期間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目標／門檻來源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改善後實績／期間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差距／改善率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分母／缺值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來源／替代解釋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有效性判定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</w:tbl>
    <w:p>
      <w:pPr>
        <w:widowControl/>
      </w:pPr>
      <w:r>
        <w:t>差距＝改善後實績－核定目標。改善率＝（改善後－改善前）÷改善前；基準為零或口徑改變時不計算。驗證前不標示有效；須區分完成活動、產出完成及效果達標。因果判斷需有足夠資料並列其他影響因素。本節措施ID須與第2節相同，以串連原因、措施和結果；未能串連時不得合併判讀。</w:t>
      </w:r>
    </w:p>
    <w:p>
      <w:pPr>
        <w:pStyle w:val="Heading1"/>
        <w:keepNext/>
      </w:pPr>
      <w:r>
        <w:t>5. 趨勢／前後比較圖表資料框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圖1｜改善前後與再驗證空白圖框（待真實資料）</w:t>
      </w:r>
    </w:p>
    <w:p>
      <w:pPr>
        <w:spacing w:before="20" w:after="40"/>
      </w:pPr>
      <w:r>
        <w:rPr>
          <w:sz w:val="17"/>
          <w:rFonts w:eastAsia="Microsoft JhengHei"/>
        </w:rPr>
        <w:t>目前沒有協會實際改善前後資料，圖框不繪製數值或效果線；不得據空白框判定改善有效。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指標值 ↑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高值區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中值區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低值區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期間 →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基準期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追蹤期一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追蹤期二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再驗證期</w:t>
            </w:r>
          </w:p>
        </w:tc>
      </w:tr>
    </w:tbl>
    <w:p>
      <w:pPr>
        <w:widowControl/>
      </w:pPr>
      <w:r>
        <w:t>圖表只使用已覆核的同口徑基準、目標與追蹤期資料。以下欄位待真實資料到齊後填入；目前不繪製結果。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比較期點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改善後／追蹤一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分母／來源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指標值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建議追蹤線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改善前基準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核定目標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追蹤一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同一指標／同一期間口徑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● 待真實值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○ 待核定值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待真實值</w:t>
            </w:r>
          </w:p>
        </w:tc>
      </w:tr>
    </w:tbl>
    <w:p>
      <w:pPr>
        <w:pStyle w:val="Heading1"/>
        <w:keepNext/>
      </w:pPr>
      <w:r>
        <w:t>6. 決策、結案與證據索引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必要條件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責任／核准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期限／下次檢視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證據ID／路徑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維持措施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資料不足時不可判有效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調整措施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說明新原因、版本及核准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結案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達預設門檻且證據完整，經獨立覆核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待核准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訓後改善建議追蹤報告。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來源、行動、責任期限、基準與效果、結案／重開、附件索引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尚無本會改善建議與效果原件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官方要求：訓後改善建議追蹤報告。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R03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