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Next/>
        <w:keepLines/>
        <w:spacing w:before="0" w:after="4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提供訓練異常的通報、風險處理、改善、效果確認與結案程序及表單。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①受理異常並判斷影響；②先控制風險並記錄事實；③找出有證據支持的原因並安排改善；④檢查效果後由有權者結案。　責任：通報、處理、驗證及核准角色待協會核定。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程序草案及合成案件示例；未核定，也沒有協會實際事件紀錄。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第3節處理流程、第5節風險分級、第6節合成案例時間線、第7節事件紀錄工具。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指標16：異常處理與改善／文件編號 0070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文件狀態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合成示範稿；尚未核准。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真實事件資料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尚待取得原始通報與處置紀錄。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  <w:keepNext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矯正與預防措施負責角色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  <w:keepNext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必留輸出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以表單1記錄唯一案件編號、發現時間/位置、訓練活動與工具、資料類型及直接觀察。資訊不足仍先開案並註明未知。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表單1；案件索引；通報對象與時間。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表單2；停止/隔離/保全紀錄；證據位置。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表單2影響範圍、計數、理由與覆核。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表單3時間線；來源與證據索引。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表單4根因、證據、替代解釋與覆核。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表單4措施清單與期限；未完成風險。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完成日、版本差異、證據、變更核准。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措施完成後按預先定義的資料集/樣本、門檻、次數與計數口徑檢查。比較來源、輸入、輸出、重複/遺漏數及覆核；未達標退回表單4。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表單5測試條件、各次計數、證據、驗證人與結果。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表單6檢核；結案/退回決議；授權依據。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表單6趨勢欄；關聯案件；後續行動及期限。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重大 重大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顯著 顯著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局部受控 局部受控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停止測試並保留證據；指定責任角色修正/重測；範圍擴大、資料輸出或再發即升為顯著/重大重評。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  <w:keepNext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合成示範稿｜流程與示例不代表協會實際事件或核定結果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合成案例一；模擬班級識別：合成演練班級一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狀態與界線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合成案例；測試檔欄位虛構測試檔一（虛構識別碼，非實存檔案）。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只有合成資料；不代表協會實際執行或發現。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表單2隔離欄位、表單3時間線；本範例未附實際電子檔。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模擬圍堵完成；正式保存位置待協會核定。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模擬第1日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表單4措施欄；8筆來源資料逐筆核對的合成結果。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相對期限是演練標記，不是協會期限或日期。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模擬第2日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表單5：演練一（8列／0重複）；演練二（8列／0重複）；識別碼為虛構。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  <w:keepNext/>
      </w:pPr>
      <w:r>
        <w:t>表單1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  <w:keepNext/>
      </w:pPr>
      <w:r>
        <w:t>表單2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[ ]重大重大 [ ]顯著顯著 [ ]局部受控局部受控；選級理由與證據：________________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  <w:keepNext/>
      </w:pPr>
      <w:r>
        <w:t>表單3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只記可查證事實；分析/推論另填表單4。每筆附原始來源或標記待補。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表單4 根因分析與矯正與預防措施台帳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在執行措施前先寫清楚測試資料集、版本、成功門檻、分母、重複定義、執行次數與獨立覆核者；測後不得改門檻配合結果。未成功、計數不一致、證據不可重現或執行者兼驗證者時，判為未證明並退回表單4。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  <w:keepNext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表單1至表單6；核准角色與授權依據。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第5節及表單2；核准版本或控制文件定位。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表單1至表單3；現場來源與資料來源。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表單3至表單6；來源、輸入/輸出、分母及重跑證據。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表單1至表單6；唯讀原件/版本/交接與保存規則。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表單5/表單6；真實授權與稽核軌跡。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headerReference w:type="first" r:id="rId13"/>
          <w:footerReference w:type="first" r:id="rId14"/>
          <w:headerReference w:type="even" r:id="rId15"/>
          <w:footerReference w:type="even" r:id="rId16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</w:p>
    <w:p>
      <w:pPr>
        <w:pStyle w:val="Heading1"/>
        <w:keepNext/>
      </w:pPr>
      <w:r>
        <w:t>附錄 A 指標16：異常處理與改善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合成案例一；合成演練班級一。模擬測試中8筆虛構訓練紀錄有2筆重複；真實資料建立前停止。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顯著暫定：範本缺陷若未修正可能延續到正式匯入；本案例沒有真實影響。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合成案例負責角色（虛構標籤，未指定真人）（虛構標籤，無真人指派）。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模擬第0日圍堵；模擬第1日修正；模擬第2日驗證。均為相對演練標記。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pageBreakBefore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指標16：異常處理與改善 專屬「要求—資料來源—欄位/指標—結果—證據位置—覆核」追溯表</w:t>
      </w:r>
    </w:p>
    <w:tbl>
      <w:tblPr>
        <w:tblStyle w:val="TableGrid"/>
        <w:tblW w:type="dxa" w:w="14280"/>
        <w:jc w:val="center"/>
        <w:tblLayout w:type="fixed"/>
        <w:tblLook w:firstColumn="1" w:firstRow="1" w:lastColumn="0" w:lastRow="0" w:noHBand="0" w:noVBand="1" w:val="04A0"/>
      </w:tblPr>
      <w:tblGrid>
        <w:gridCol w:w="4760"/>
        <w:gridCol w:w="4760"/>
        <w:gridCol w:w="4760"/>
      </w:tblGrid>
      <w:tr>
        <w:trPr>
          <w:tblHeader w:val="1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要求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資料來源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欄位／指標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結果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證據位置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覆核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訓練異常處理方法、 紀錄與工具。</w:t>
            </w:r>
          </w:p>
          <w:p>
            <w:pPr>
              <w:spacing w:after="0" w:line="240" w:lineRule="auto"/>
            </w:pPr>
            <w:r>
              <w:t>官方查核表原頁5；有效要求清冊指標16：異常處理與改善列。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表單1受理；表單2分級/圍堵；表單3事實/證據。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具備訓練異常受理、分級、停止/隔離與時間線工具；案例為合成。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第1、4至6節；表單1至表單3；表1；官方頁5。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獨立審查待做；不代表QA或通過。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訓練異常根因及預防閉環</w:t>
            </w:r>
          </w:p>
          <w:p>
            <w:pPr>
              <w:spacing w:after="0" w:line="240" w:lineRule="auto"/>
            </w:pPr>
            <w:r>
              <w:t>指標16：異常處理與改善有效要求列所列章節與表格。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表單4根因/矯正與預防措施；閉環表的責任、期限、驗證。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根因、矯正/預防行動與期限已填入合成情境。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第6節；表單4；表2及表3。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內容證據為合成敘述；真人覆核待填。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效果驗證、結案與趨勢</w:t>
            </w:r>
          </w:p>
          <w:p>
            <w:pPr>
              <w:spacing w:after="0" w:line="240" w:lineRule="auto"/>
            </w:pPr>
            <w:r>
              <w:t>指標16：異常處理與改善有效要求列的效果驗證、核准、再發/趨勢與公式。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表單5/表單6；兩次乾跑；準時結案率/再發率。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兩次各8列乾跑均0重複；無正式結案事件，兩項比率不適用。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第7節；表單5/表單6；合成替換登錄表。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keepNext/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實際驗證/核准未執行；待指定獨立人員。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紀錄與工具可追溯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官方查核表第5頁及本程序各表單。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案件編號、計數口徑、分級理由、證據位置、措施責任/期限、驗證/覆核欄。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提供六份具體欄位表與合成案例；正式存放位置待實填。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表單1至表單6；來源核對紀錄記錄PDF來源雜湊。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本附錄只追溯指標16：異常處理與改善的異常處理方法、紀錄與工具；合成值不提供其他訓練要求的事實、活動或成效證明。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可讀性修訂工作稿；真實狀態與原始證據界線依正文標示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