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派訓主管訓後學習成效評估表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社團法人屏東縣原始點關懷協會｜工作稿／待核定</w:t>
      </w:r>
    </w:p>
    <w:p>
      <w:pPr>
        <w:spacing w:after="0"/>
      </w:pPr>
      <w:r>
        <w:rPr>
          <w:rFonts w:ascii="Microsoft JhengHei" w:hAnsi="Microsoft JhengHei" w:eastAsia="Microsoft JhengHei"/>
          <w:b/>
          <w:color w:val="9C4A00"/>
          <w:sz w:val="18"/>
        </w:rPr>
        <w:t>本文件提供可直接填用的紀錄欄位；沒有原始資料時請保留空白並註明待補。</w:t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由派訓單位主管評估學員把所學用於工作後，對工作品質、流程或服務的可觀察影響。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設定基準與觀察期間，記錄主管評分、具體例證及可能的其他影響因素；不可僅因上完課就推定成果。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先看觀察期間與比較基準，再看組織工作結果、證據、限制與改善決定。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目前沒有派訓單位、主管評估或工作成效原件。本稿不宣稱訓練已提升組織績效。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對應官方查核項目：派訓單位主管對參訓學員的學習成效評估表。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協會方向：以健康教育及傳統整復推拿技術為核心，並依實際市場需求評估多元課程。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待補原始資料：派訓資料、主管原始評估、前後期間可比資料、工作證據及主管覆核紀錄。</w:t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一、評估識別與比較範圍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1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班次／學員或群體代碼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[待補；去識別處理]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派訓單位／主管職務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基準期間／觀察期間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[待補：說明各期間起訖]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訓練目標／工作指標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[待補：引用課程及工作資料]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可用資料來源／限制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[待補：系統、紀錄或觀察方式]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  <w:keepLines/>
        <w:pageBreakBefore/>
      </w:pPr>
      <w:r>
        <w:t>操作工具補充｜個別評估平均分與證據核對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本件是單一參訓學員的主管評估表。其功能是收集可核對的個案觀察；跨個案平均、分布或趨勢圖由獨立彙整分析文件處理，本表不放虛構圖表。</w:t>
      </w:r>
    </w:p>
    <w:p>
      <w:pPr>
        <w:pStyle w:val="Heading2"/>
        <w:keepNext/>
        <w:keepLines/>
        <w:pageBreakBefore w:val="0"/>
      </w:pPr>
      <w:r>
        <w:t>1. 個案分數計算與核對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cantSplit/>
          <w:tblHeader w:val="true"/>
        </w:trPr>
        <w:tc>
          <w:tcPr>
            <w:tcW w:type="dxa" w:w="25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計算項目</w:t>
            </w:r>
          </w:p>
        </w:tc>
        <w:tc>
          <w:tcPr>
            <w:tcW w:type="dxa" w:w="25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公式／判定</w:t>
            </w:r>
          </w:p>
        </w:tc>
        <w:tc>
          <w:tcPr>
            <w:tcW w:type="dxa" w:w="25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填寫欄</w:t>
            </w:r>
          </w:p>
        </w:tc>
        <w:tc>
          <w:tcPr>
            <w:tcW w:type="dxa" w:w="25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限制與覆核</w:t>
            </w:r>
          </w:p>
        </w:tc>
      </w:tr>
      <w:tr>
        <w:trPr>
          <w:cantSplit/>
        </w:trPr>
        <w:tc>
          <w:tcPr>
            <w:tcW w:type="dxa" w:w="2501"/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本表有效平均分</w:t>
            </w:r>
          </w:p>
        </w:tc>
        <w:tc>
          <w:tcPr>
            <w:tcW w:type="dxa" w:w="2501"/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同一個案有效的1–5分項目分數總和 ÷ 有效計分項目數。未觀察／不適用不納入。</w:t>
            </w:r>
          </w:p>
        </w:tc>
        <w:tc>
          <w:tcPr>
            <w:tcW w:type="dxa" w:w="2501"/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[總分] ÷ [有效項目數] = [平均分]</w:t>
            </w:r>
          </w:p>
        </w:tc>
        <w:tc>
          <w:tcPr>
            <w:tcW w:type="dxa" w:w="2501"/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有效項目數為0則不計算；附評分項及主管日期。</w:t>
            </w:r>
          </w:p>
        </w:tc>
      </w:tr>
      <w:tr>
        <w:trPr>
          <w:cantSplit/>
        </w:trPr>
        <w:tc>
          <w:tcPr>
            <w:tcW w:type="dxa" w:w="2501"/>
            <w:vAlign w:val="center"/>
            <w:shd w:fill="F2F6FA"/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題項證據充分性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每個評分均連結可觀察事例及原始來源位置。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[題項ID／事例／證據ID]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只有主觀印象而無例證時標示待補，不升格為客觀成果。</w:t>
            </w:r>
          </w:p>
        </w:tc>
      </w:tr>
      <w:tr>
        <w:trPr>
          <w:cantSplit/>
        </w:trPr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改善追蹤狀態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未開始／執行中／到期待查／完成且已驗證，分開記錄。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[責任角色／期限／複查日期]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未完成或無驗證資料時不得計入完成。</w:t>
            </w:r>
          </w:p>
        </w:tc>
      </w:tr>
    </w:tbl>
    <w:p>
      <w:pPr>
        <w:pStyle w:val="Heading2"/>
        <w:keepNext/>
        <w:keepLines/>
      </w:pPr>
      <w:r>
        <w:t>2. 單份主管評估證據索引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cantSplit/>
          <w:tblHeader w:val="true"/>
        </w:trPr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評估面向／題項</w:t>
            </w:r>
          </w:p>
        </w:tc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主管觀察事例</w:t>
            </w:r>
          </w:p>
        </w:tc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資料來源／檔名／頁次</w:t>
            </w:r>
          </w:p>
        </w:tc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資料期間與分母</w:t>
            </w:r>
          </w:p>
        </w:tc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覆核狀態／限制</w:t>
            </w:r>
          </w:p>
        </w:tc>
      </w:tr>
      <w:tr>
        <w:trPr>
          <w:cantSplit/>
        </w:trPr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[引用表內面向]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[只記可觀察事實]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[待填；不適用請說明]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□已核 □待補：[原因]</w:t>
            </w:r>
          </w:p>
        </w:tc>
      </w:tr>
      <w:tr>
        <w:trPr>
          <w:cantSplit/>
        </w:trPr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□已核 □待補</w:t>
            </w:r>
          </w:p>
        </w:tc>
      </w:tr>
      <w:tr>
        <w:trPr>
          <w:cantSplit/>
        </w:trPr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□已核 □待補</w:t>
            </w:r>
          </w:p>
        </w:tc>
      </w:tr>
    </w:tbl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彙總時若要呈現平均、分布或圖表，應在下游分析文件標明母體、期間、有效樣本與計算方式；不得把單份主管表當成組織或整體課程成果。</w:t>
      </w: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查核內容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原始來源／資料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結果／欄位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證據位置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主管評估原件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[待補／未派訓時說明]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工作指標及基準／觀察資料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其他因素與改善追蹤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主管職務／日期：[待補]；資料承辦／日期：[待補]；覆核人／日期：[待補]。</w:t>
      </w:r>
    </w:p>
    <w:p>
      <w:pPr>
        <w:pStyle w:val="Heading1"/>
        <w:keepNext/>
        <w:keepLines/>
        <w:pageBreakBefore/>
      </w:pPr>
      <w:r>
        <w:rPr>
          <w:rFonts w:ascii="Microsoft JhengHei" w:hAnsi="Microsoft JhengHei" w:eastAsia="Microsoft JhengHei"/>
          <w:b/>
          <w:color w:val="183B63"/>
          <w:sz w:val="30"/>
        </w:rPr>
        <w:t>二、工作結果與主管評分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評分：1＝明顯未達；2＝部分改善但仍需協助；3＝符合基本要求；4＝有穩定改善證據；5＝持續且有具體改善證據；另選未觀察／不適用。請附事實例證及來源，不以單一評分代替數據。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結果面向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基準／目標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觀察結果</w:t>
            </w:r>
          </w:p>
        </w:tc>
        <w:tc>
          <w:tcPr>
            <w:tcW w:type="dxa" w:w="13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評分</w:t>
            </w:r>
          </w:p>
        </w:tc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事實例證／資料位置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工作品質／錯誤或返工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流程時間／完成情形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安全、衛生或規範遵循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服務對象／同事回饋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知識分享／團隊應用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三、結果判讀與改善決定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問題</w:t>
            </w:r>
          </w:p>
        </w:tc>
        <w:tc>
          <w:tcPr>
            <w:tcW w:type="dxa" w:w="68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是否有可比較的改善？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□有　□無　□資料不足；依據：[待補]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可能影響因素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[待補：工作內容、設備、人力、制度或其他變化]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訓練與結果的關聯判斷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[待補：只說明有證據的關聯，不作單因果宣稱]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仍需改善的差距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後續措施／責任角色／期限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複查方式與判定日期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四、統計口徑（適用時填）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指標</w:t>
            </w:r>
          </w:p>
        </w:tc>
        <w:tc>
          <w:tcPr>
            <w:tcW w:type="dxa" w:w="51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計算方式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結果／分母／限制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有效回收率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有效回覆數 ÷ 可回覆且到期對象數。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[待補；列分母及未回覆]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正向評估率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選4或5人數 ÷ 該題有效回答數。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[待補；不得把未觀察納入]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前後變化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觀察期值－基準期值；不同比例另列百分點。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[待補；說明資料來源及可比性]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若樣本、期間、指標定義或資料來源不可比較，請標示「尚無法判定」，不可據此宣稱訓練造成績效變化。</w:t>
      </w:r>
    </w:p>
    <w:p>
      <w:pPr>
        <w:pStyle w:val="Heading1"/>
        <w:keepNext/>
        <w:keepLines/>
      </w:pPr>
      <w:r>
        <w:t>主管評估結果彙整與改善追蹤</w:t>
      </w:r>
    </w:p>
    <w:p>
      <w:pPr>
        <w:keepLines/>
        <w:spacing w:after="100"/>
      </w:pPr>
      <w:r>
        <w:t>此頁組用於彙整具來源的主管個案評估。若未取得前後資料或有效回覆，保留空白並列出限制；不得以自評或單次印象替代主管原始評估。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彙整識別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適格母體／期間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可回覆對象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有效回覆／未回／拒答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資料來源與覆核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[班次／匿名群體代碼]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[母體定義、基準與觀察期間]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[待填；列分母來源]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[各類數分列；待填]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[主管評估原件及位置；覆核待填]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結果面向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基準／目標與來源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觀察值／分母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差距與可驗證例證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改善措施／責任／期限／複查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工作品質／錯誤或返工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[待補；列期間與N]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[僅填可查證事例]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[待決／待驗證]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流程時間／完成情形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[待補；列期間與N]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[僅填可查證事例]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[待決／待驗證]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安全、衛生或規範遵循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[待補；列期間與N]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[僅填可查證事例]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[待決／待驗證]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服務回饋／團隊應用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[待補；列期間與N]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[僅填可查證事例]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[待決／待驗證]</w:t>
            </w:r>
          </w:p>
        </w:tc>
      </w:tr>
    </w:tbl>
    <w:p>
      <w:pPr>
        <w:pStyle w:val="Heading2"/>
        <w:keepNext/>
        <w:keepLines/>
      </w:pPr>
      <w:r>
        <w:t>分項得分比較圖空白架構</w:t>
      </w:r>
    </w:p>
    <w:p>
      <w:pPr>
        <w:keepLines/>
        <w:spacing w:after="100"/>
      </w:pPr>
      <w:r>
        <w:t>下列為可直接填入的圖表底稿，不是成果圖。只有在同一構面具可比較的基準／觀察值且資料來源可核對時才標示分數或繪線；無資料時不得連線或宣稱提升。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1429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結果構面</w:t>
            </w:r>
          </w:p>
        </w:tc>
        <w:tc>
          <w:tcPr>
            <w:tcW w:type="dxa" w:w="1429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尺度 1</w:t>
            </w:r>
          </w:p>
        </w:tc>
        <w:tc>
          <w:tcPr>
            <w:tcW w:type="dxa" w:w="1429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尺度 2</w:t>
            </w:r>
          </w:p>
        </w:tc>
        <w:tc>
          <w:tcPr>
            <w:tcW w:type="dxa" w:w="1429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尺度 3</w:t>
            </w:r>
          </w:p>
        </w:tc>
        <w:tc>
          <w:tcPr>
            <w:tcW w:type="dxa" w:w="1429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尺度 4</w:t>
            </w:r>
          </w:p>
        </w:tc>
        <w:tc>
          <w:tcPr>
            <w:tcW w:type="dxa" w:w="1429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尺度 5</w:t>
            </w:r>
          </w:p>
        </w:tc>
        <w:tc>
          <w:tcPr>
            <w:tcW w:type="dxa" w:w="1429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實際點位／證據ID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1429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工作品質／返工</w:t>
            </w:r>
          </w:p>
        </w:tc>
        <w:tc>
          <w:tcPr>
            <w:tcW w:type="dxa" w:w="1429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  <w:tc>
          <w:tcPr>
            <w:tcW w:type="dxa" w:w="1429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  <w:tc>
          <w:tcPr>
            <w:tcW w:type="dxa" w:w="1429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  <w:tc>
          <w:tcPr>
            <w:tcW w:type="dxa" w:w="1429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  <w:tc>
          <w:tcPr>
            <w:tcW w:type="dxa" w:w="1429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  <w:tc>
          <w:tcPr>
            <w:tcW w:type="dxa" w:w="1429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1429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流程時間／完成</w:t>
            </w:r>
          </w:p>
        </w:tc>
        <w:tc>
          <w:tcPr>
            <w:tcW w:type="dxa" w:w="1429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  <w:tc>
          <w:tcPr>
            <w:tcW w:type="dxa" w:w="1429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  <w:tc>
          <w:tcPr>
            <w:tcW w:type="dxa" w:w="1429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  <w:tc>
          <w:tcPr>
            <w:tcW w:type="dxa" w:w="1429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  <w:tc>
          <w:tcPr>
            <w:tcW w:type="dxa" w:w="1429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  <w:tc>
          <w:tcPr>
            <w:tcW w:type="dxa" w:w="1429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1429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安全／規範遵循</w:t>
            </w:r>
          </w:p>
        </w:tc>
        <w:tc>
          <w:tcPr>
            <w:tcW w:type="dxa" w:w="1429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  <w:tc>
          <w:tcPr>
            <w:tcW w:type="dxa" w:w="1429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  <w:tc>
          <w:tcPr>
            <w:tcW w:type="dxa" w:w="1429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  <w:tc>
          <w:tcPr>
            <w:tcW w:type="dxa" w:w="1429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  <w:tc>
          <w:tcPr>
            <w:tcW w:type="dxa" w:w="1429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  <w:tc>
          <w:tcPr>
            <w:tcW w:type="dxa" w:w="1429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1429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服務／團隊應用</w:t>
            </w:r>
          </w:p>
        </w:tc>
        <w:tc>
          <w:tcPr>
            <w:tcW w:type="dxa" w:w="1429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  <w:tc>
          <w:tcPr>
            <w:tcW w:type="dxa" w:w="1429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  <w:tc>
          <w:tcPr>
            <w:tcW w:type="dxa" w:w="1429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  <w:tc>
          <w:tcPr>
            <w:tcW w:type="dxa" w:w="1429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  <w:tc>
          <w:tcPr>
            <w:tcW w:type="dxa" w:w="1429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  <w:tc>
          <w:tcPr>
            <w:tcW w:type="dxa" w:w="1429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335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彙整指標</w:t>
            </w:r>
          </w:p>
        </w:tc>
        <w:tc>
          <w:tcPr>
            <w:tcW w:type="dxa" w:w="3335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計算方式</w:t>
            </w:r>
          </w:p>
        </w:tc>
        <w:tc>
          <w:tcPr>
            <w:tcW w:type="dxa" w:w="3335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結果、分母與限制</w:t>
            </w:r>
          </w:p>
        </w:tc>
      </w:tr>
      <w:tr>
        <w:trPr>
          <w:cantSplit/>
          <w:cantSplit/>
          <w:cantSplit/>
        </w:trPr>
        <w:tc>
          <w:tcPr>
            <w:tcW w:type="dxa" w:w="3335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主管有效回收率</w:t>
            </w:r>
          </w:p>
        </w:tc>
        <w:tc>
          <w:tcPr>
            <w:tcW w:type="dxa" w:w="3335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有效主管評估數 ÷ 到期且適格的可回覆對象數；拒答、未回、未觀察分列。</w:t>
            </w:r>
          </w:p>
        </w:tc>
        <w:tc>
          <w:tcPr>
            <w:tcW w:type="dxa" w:w="3335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[待算；分母0列不適用]</w:t>
            </w:r>
          </w:p>
        </w:tc>
      </w:tr>
      <w:tr>
        <w:trPr>
          <w:cantSplit/>
          <w:cantSplit/>
          <w:cantSplit/>
        </w:trPr>
        <w:tc>
          <w:tcPr>
            <w:tcW w:type="dxa" w:w="3335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分項平均分</w:t>
            </w:r>
          </w:p>
        </w:tc>
        <w:tc>
          <w:tcPr>
            <w:tcW w:type="dxa" w:w="3335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該構面有效分數總和 ÷ 該構面有效回答數；未觀察不納入。</w:t>
            </w:r>
          </w:p>
        </w:tc>
        <w:tc>
          <w:tcPr>
            <w:tcW w:type="dxa" w:w="3335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[待算；附題項與N]</w:t>
            </w:r>
          </w:p>
        </w:tc>
      </w:tr>
      <w:tr>
        <w:trPr>
          <w:cantSplit/>
          <w:cantSplit/>
          <w:cantSplit/>
        </w:trPr>
        <w:tc>
          <w:tcPr>
            <w:tcW w:type="dxa" w:w="3335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正向評估率</w:t>
            </w:r>
          </w:p>
        </w:tc>
        <w:tc>
          <w:tcPr>
            <w:tcW w:type="dxa" w:w="3335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4–5分有效回答數 ÷ 該題有效回答數；不得把未觀察納入。</w:t>
            </w:r>
          </w:p>
        </w:tc>
        <w:tc>
          <w:tcPr>
            <w:tcW w:type="dxa" w:w="3335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[待算；列N與評分版次]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改善問題／弱項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決策與理由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責任角色／期限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複查日期／驗證結果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證據位置／覆核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[採納／未採納及依據]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[實施後填]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[原件位置／覆核]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[待決]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</w:tr>
    </w:tbl>
    <w:p>
      <w:pPr>
        <w:keepLines/>
        <w:spacing w:before="60" w:after="120"/>
      </w:pPr>
      <w:r>
        <w:rPr>
          <w:b/>
          <w:color w:val="9C4500"/>
        </w:rPr>
        <w:t>分數只描述有來源的主管觀察，不單獨證明訓練造成績效變化；須一併記錄其他因素、期間可比性與資料限制。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派訓主管訓後學習成效評估表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